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22D4" w:rsidRDefault="00740F42" w:rsidP="00B322D4">
      <w:pPr>
        <w:rPr>
          <w:lang w:val="en-US" w:eastAsia="en-GB"/>
        </w:rPr>
      </w:pPr>
      <w:r>
        <w:rPr>
          <w:noProof/>
          <w:lang w:eastAsia="en-GB"/>
        </w:rPr>
        <w:drawing>
          <wp:inline distT="0" distB="0" distL="0" distR="0">
            <wp:extent cx="7082155" cy="6133465"/>
            <wp:effectExtent l="19050" t="0" r="4445"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7082155" cy="6133465"/>
                    </a:xfrm>
                    <a:prstGeom prst="rect">
                      <a:avLst/>
                    </a:prstGeom>
                    <a:noFill/>
                    <a:ln w="9525">
                      <a:noFill/>
                      <a:miter lim="800000"/>
                      <a:headEnd/>
                      <a:tailEnd/>
                    </a:ln>
                  </pic:spPr>
                </pic:pic>
              </a:graphicData>
            </a:graphic>
          </wp:inline>
        </w:drawing>
      </w:r>
    </w:p>
    <w:p w:rsidR="00930213" w:rsidRDefault="00930213" w:rsidP="00B322D4">
      <w:pPr>
        <w:rPr>
          <w:lang w:val="en-US" w:eastAsia="en-GB"/>
        </w:rPr>
      </w:pPr>
    </w:p>
    <w:p w:rsidR="00637BF5" w:rsidRDefault="00637BF5" w:rsidP="00B322D4">
      <w:pPr>
        <w:rPr>
          <w:lang w:val="en-US" w:eastAsia="en-GB"/>
        </w:rPr>
      </w:pPr>
    </w:p>
    <w:p w:rsidR="00637BF5" w:rsidRDefault="00637BF5" w:rsidP="00B322D4">
      <w:pPr>
        <w:rPr>
          <w:lang w:val="en-US" w:eastAsia="en-GB"/>
        </w:rPr>
      </w:pPr>
    </w:p>
    <w:p w:rsidR="00637BF5" w:rsidRDefault="00637BF5" w:rsidP="00B322D4">
      <w:pPr>
        <w:rPr>
          <w:lang w:val="en-US" w:eastAsia="en-GB"/>
        </w:rPr>
      </w:pPr>
    </w:p>
    <w:tbl>
      <w:tblPr>
        <w:tblW w:w="0" w:type="auto"/>
        <w:tblLook w:val="04A0" w:firstRow="1" w:lastRow="0" w:firstColumn="1" w:lastColumn="0" w:noHBand="0" w:noVBand="1"/>
      </w:tblPr>
      <w:tblGrid>
        <w:gridCol w:w="3606"/>
        <w:gridCol w:w="3606"/>
        <w:gridCol w:w="3606"/>
      </w:tblGrid>
      <w:tr w:rsidR="00637BF5" w:rsidRPr="0034681B" w:rsidTr="0034681B">
        <w:tc>
          <w:tcPr>
            <w:tcW w:w="3606" w:type="dxa"/>
            <w:shd w:val="clear" w:color="auto" w:fill="auto"/>
          </w:tcPr>
          <w:p w:rsidR="00637BF5" w:rsidRPr="0034681B" w:rsidRDefault="00740F42" w:rsidP="00B322D4">
            <w:pPr>
              <w:rPr>
                <w:lang w:val="en-US" w:eastAsia="en-GB"/>
              </w:rPr>
            </w:pPr>
            <w:r>
              <w:rPr>
                <w:noProof/>
                <w:lang w:eastAsia="en-GB"/>
              </w:rPr>
              <w:drawing>
                <wp:inline distT="0" distB="0" distL="0" distR="0">
                  <wp:extent cx="1216025" cy="1216025"/>
                  <wp:effectExtent l="19050" t="0" r="3175" b="0"/>
                  <wp:docPr id="2" name="Picture 0" descr="National Pubwatch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National Pubwatch Logo.JPG"/>
                          <pic:cNvPicPr>
                            <a:picLocks noChangeAspect="1" noChangeArrowheads="1"/>
                          </pic:cNvPicPr>
                        </pic:nvPicPr>
                        <pic:blipFill>
                          <a:blip r:embed="rId9" cstate="print"/>
                          <a:srcRect/>
                          <a:stretch>
                            <a:fillRect/>
                          </a:stretch>
                        </pic:blipFill>
                        <pic:spPr bwMode="auto">
                          <a:xfrm>
                            <a:off x="0" y="0"/>
                            <a:ext cx="1216025" cy="1216025"/>
                          </a:xfrm>
                          <a:prstGeom prst="rect">
                            <a:avLst/>
                          </a:prstGeom>
                          <a:noFill/>
                          <a:ln w="9525">
                            <a:noFill/>
                            <a:miter lim="800000"/>
                            <a:headEnd/>
                            <a:tailEnd/>
                          </a:ln>
                        </pic:spPr>
                      </pic:pic>
                    </a:graphicData>
                  </a:graphic>
                </wp:inline>
              </w:drawing>
            </w:r>
          </w:p>
        </w:tc>
        <w:tc>
          <w:tcPr>
            <w:tcW w:w="3606" w:type="dxa"/>
            <w:shd w:val="clear" w:color="auto" w:fill="auto"/>
            <w:vAlign w:val="center"/>
          </w:tcPr>
          <w:p w:rsidR="00637BF5" w:rsidRPr="0034681B" w:rsidRDefault="00740F42" w:rsidP="0034681B">
            <w:pPr>
              <w:jc w:val="center"/>
              <w:rPr>
                <w:lang w:val="en-US" w:eastAsia="en-GB"/>
              </w:rPr>
            </w:pPr>
            <w:r>
              <w:rPr>
                <w:noProof/>
                <w:lang w:eastAsia="en-GB"/>
              </w:rPr>
              <w:drawing>
                <wp:inline distT="0" distB="0" distL="0" distR="0">
                  <wp:extent cx="1785620" cy="974725"/>
                  <wp:effectExtent l="19050" t="0" r="508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1785620" cy="974725"/>
                          </a:xfrm>
                          <a:prstGeom prst="rect">
                            <a:avLst/>
                          </a:prstGeom>
                          <a:noFill/>
                          <a:ln w="9525">
                            <a:noFill/>
                            <a:miter lim="800000"/>
                            <a:headEnd/>
                            <a:tailEnd/>
                          </a:ln>
                        </pic:spPr>
                      </pic:pic>
                    </a:graphicData>
                  </a:graphic>
                </wp:inline>
              </w:drawing>
            </w:r>
          </w:p>
        </w:tc>
        <w:tc>
          <w:tcPr>
            <w:tcW w:w="3606" w:type="dxa"/>
            <w:shd w:val="clear" w:color="auto" w:fill="auto"/>
            <w:vAlign w:val="bottom"/>
          </w:tcPr>
          <w:p w:rsidR="00637BF5" w:rsidRPr="0034681B" w:rsidRDefault="00637BF5" w:rsidP="0034681B">
            <w:pPr>
              <w:jc w:val="center"/>
              <w:rPr>
                <w:lang w:val="en-US" w:eastAsia="en-GB"/>
              </w:rPr>
            </w:pPr>
          </w:p>
        </w:tc>
      </w:tr>
    </w:tbl>
    <w:p w:rsidR="00930213" w:rsidRDefault="00930213" w:rsidP="00B322D4">
      <w:pPr>
        <w:rPr>
          <w:lang w:val="en-US" w:eastAsia="en-GB"/>
        </w:rPr>
      </w:pPr>
    </w:p>
    <w:p w:rsidR="00930213" w:rsidRDefault="00930213" w:rsidP="00B322D4">
      <w:pPr>
        <w:rPr>
          <w:lang w:val="en-US" w:eastAsia="en-GB"/>
        </w:rPr>
      </w:pPr>
    </w:p>
    <w:p w:rsidR="00930213" w:rsidRDefault="008613CB" w:rsidP="00637BF5">
      <w:pPr>
        <w:rPr>
          <w:lang w:val="en-US" w:eastAsia="en-GB"/>
        </w:rPr>
        <w:sectPr w:rsidR="00930213" w:rsidSect="00637BF5">
          <w:footerReference w:type="default" r:id="rId11"/>
          <w:pgSz w:w="11906" w:h="16838" w:code="9"/>
          <w:pgMar w:top="1418" w:right="794" w:bottom="1440" w:left="510" w:header="709" w:footer="709" w:gutter="0"/>
          <w:pgNumType w:start="1"/>
          <w:cols w:space="708"/>
          <w:titlePg/>
          <w:docGrid w:linePitch="360"/>
        </w:sectPr>
      </w:pPr>
      <w:r>
        <w:t>Pubwatch</w:t>
      </w:r>
      <w:r>
        <w:rPr>
          <w:noProof/>
          <w:lang w:eastAsia="en-GB"/>
        </w:rPr>
        <w:t xml:space="preserve"> </w:t>
      </w:r>
      <w:r w:rsidR="00296221">
        <w:rPr>
          <w:noProof/>
          <w:lang w:eastAsia="en-GB"/>
        </w:rPr>
        <mc:AlternateContent>
          <mc:Choice Requires="wps">
            <w:drawing>
              <wp:anchor distT="0" distB="0" distL="114300" distR="114300" simplePos="0" relativeHeight="251658752" behindDoc="0" locked="0" layoutInCell="1" allowOverlap="1">
                <wp:simplePos x="0" y="0"/>
                <wp:positionH relativeFrom="column">
                  <wp:posOffset>76200</wp:posOffset>
                </wp:positionH>
                <wp:positionV relativeFrom="paragraph">
                  <wp:posOffset>2123440</wp:posOffset>
                </wp:positionV>
                <wp:extent cx="6953250" cy="914400"/>
                <wp:effectExtent l="0" t="0" r="19050" b="19050"/>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0" cy="914400"/>
                        </a:xfrm>
                        <a:prstGeom prst="rect">
                          <a:avLst/>
                        </a:prstGeom>
                        <a:solidFill>
                          <a:srgbClr val="FFFFFF"/>
                        </a:solidFill>
                        <a:ln w="9525">
                          <a:solidFill>
                            <a:sysClr val="window" lastClr="FFFFFF">
                              <a:lumMod val="100000"/>
                              <a:lumOff val="0"/>
                            </a:sysClr>
                          </a:solidFill>
                          <a:miter lim="800000"/>
                          <a:headEnd/>
                          <a:tailEnd/>
                        </a:ln>
                      </wps:spPr>
                      <wps:txbx>
                        <w:txbxContent>
                          <w:p w:rsidR="001A3331" w:rsidRDefault="001A3331" w:rsidP="001A3331">
                            <w:pPr>
                              <w:jc w:val="right"/>
                            </w:pPr>
                            <w:r>
                              <w:t xml:space="preserve">National Pubwatch in collaboration with Leeds Beckett University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6pt;margin-top:167.2pt;width:547.5pt;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" strokecolor="white">
                <v:textbox>
                  <w:txbxContent>
                    <w:p w:rsidR="001A3331" w:rsidRDefault="001A3331" w:rsidP="001A3331">
                      <w:pPr>
                        <w:jc w:val="right"/>
                      </w:pPr>
                      <w:r>
                        <w:t xml:space="preserve">National Pubwatch in collaboration with Leeds Beckett University </w:t>
                      </w:r>
                    </w:p>
                  </w:txbxContent>
                </v:textbox>
              </v:shape>
            </w:pict>
          </mc:Fallback>
        </mc:AlternateContent>
      </w:r>
      <w:r w:rsidR="00637BF5">
        <w:rPr>
          <w:lang w:val="en-US" w:eastAsia="en-GB"/>
        </w:rPr>
        <w:t xml:space="preserve">Evaluation Toolkit: Collaboration between </w:t>
      </w:r>
      <w:r w:rsidR="008633A9">
        <w:rPr>
          <w:lang w:val="en-US" w:eastAsia="en-GB"/>
        </w:rPr>
        <w:t>National</w:t>
      </w:r>
      <w:r w:rsidRPr="008613CB">
        <w:t xml:space="preserve"> </w:t>
      </w:r>
      <w:r>
        <w:t>Pubwatch</w:t>
      </w:r>
      <w:r w:rsidR="008633A9">
        <w:rPr>
          <w:lang w:val="en-US" w:eastAsia="en-GB"/>
        </w:rPr>
        <w:t xml:space="preserve"> and</w:t>
      </w:r>
      <w:r w:rsidR="00637BF5">
        <w:rPr>
          <w:lang w:val="en-US" w:eastAsia="en-GB"/>
        </w:rPr>
        <w:t xml:space="preserve"> Leeds Beckett University </w:t>
      </w:r>
    </w:p>
    <w:p w:rsidR="00EB055D" w:rsidRPr="0034681B" w:rsidRDefault="00EB055D" w:rsidP="00B322D4">
      <w:pPr>
        <w:pStyle w:val="TOCHeading"/>
        <w:rPr>
          <w:noProof/>
          <w:color w:val="4F6228"/>
          <w:lang w:eastAsia="en-GB"/>
        </w:rPr>
      </w:pPr>
      <w:r>
        <w:lastRenderedPageBreak/>
        <w:t>Contents</w:t>
      </w:r>
    </w:p>
    <w:p w:rsidR="00321B6C" w:rsidRDefault="00867FF6">
      <w:pPr>
        <w:pStyle w:val="TOC1"/>
        <w:tabs>
          <w:tab w:val="right" w:leader="dot" w:pos="9016"/>
        </w:tabs>
        <w:rPr>
          <w:rFonts w:asciiTheme="minorHAnsi" w:eastAsiaTheme="minorEastAsia" w:hAnsiTheme="minorHAnsi" w:cstheme="minorBidi"/>
          <w:noProof/>
          <w:color w:val="auto"/>
          <w:szCs w:val="22"/>
          <w:lang w:eastAsia="en-GB"/>
        </w:rPr>
      </w:pPr>
      <w:r>
        <w:fldChar w:fldCharType="begin"/>
      </w:r>
      <w:r w:rsidR="00EB055D">
        <w:instrText xml:space="preserve"> TOC \o "1-3" \h \z \u </w:instrText>
      </w:r>
      <w:r>
        <w:fldChar w:fldCharType="separate"/>
      </w:r>
      <w:hyperlink w:anchor="_Toc488066625" w:history="1">
        <w:r w:rsidR="00321B6C" w:rsidRPr="00CB5369">
          <w:rPr>
            <w:rStyle w:val="Hyperlink"/>
            <w:noProof/>
          </w:rPr>
          <w:t>1.0 What is a Pubwatch scheme?</w:t>
        </w:r>
        <w:r w:rsidR="00321B6C">
          <w:rPr>
            <w:noProof/>
            <w:webHidden/>
          </w:rPr>
          <w:tab/>
        </w:r>
        <w:r w:rsidR="00321B6C">
          <w:rPr>
            <w:noProof/>
            <w:webHidden/>
          </w:rPr>
          <w:fldChar w:fldCharType="begin"/>
        </w:r>
        <w:r w:rsidR="00321B6C">
          <w:rPr>
            <w:noProof/>
            <w:webHidden/>
          </w:rPr>
          <w:instrText xml:space="preserve"> PAGEREF _Toc488066625 \h </w:instrText>
        </w:r>
        <w:r w:rsidR="00321B6C">
          <w:rPr>
            <w:noProof/>
            <w:webHidden/>
          </w:rPr>
        </w:r>
        <w:r w:rsidR="00321B6C">
          <w:rPr>
            <w:noProof/>
            <w:webHidden/>
          </w:rPr>
          <w:fldChar w:fldCharType="separate"/>
        </w:r>
        <w:r w:rsidR="00321B6C">
          <w:rPr>
            <w:noProof/>
            <w:webHidden/>
          </w:rPr>
          <w:t>1</w:t>
        </w:r>
        <w:r w:rsidR="00321B6C">
          <w:rPr>
            <w:noProof/>
            <w:webHidden/>
          </w:rPr>
          <w:fldChar w:fldCharType="end"/>
        </w:r>
      </w:hyperlink>
    </w:p>
    <w:p w:rsidR="00321B6C" w:rsidRDefault="00321B6C">
      <w:pPr>
        <w:pStyle w:val="TOC1"/>
        <w:tabs>
          <w:tab w:val="right" w:leader="dot" w:pos="9016"/>
        </w:tabs>
        <w:rPr>
          <w:rFonts w:asciiTheme="minorHAnsi" w:eastAsiaTheme="minorEastAsia" w:hAnsiTheme="minorHAnsi" w:cstheme="minorBidi"/>
          <w:noProof/>
          <w:color w:val="auto"/>
          <w:szCs w:val="22"/>
          <w:lang w:eastAsia="en-GB"/>
        </w:rPr>
      </w:pPr>
      <w:hyperlink w:anchor="_Toc488066626" w:history="1">
        <w:r w:rsidRPr="00CB5369">
          <w:rPr>
            <w:rStyle w:val="Hyperlink"/>
            <w:noProof/>
          </w:rPr>
          <w:t>2.0 What are the objectives of a local Pubwatch scheme?</w:t>
        </w:r>
        <w:r>
          <w:rPr>
            <w:noProof/>
            <w:webHidden/>
          </w:rPr>
          <w:tab/>
        </w:r>
        <w:r>
          <w:rPr>
            <w:noProof/>
            <w:webHidden/>
          </w:rPr>
          <w:fldChar w:fldCharType="begin"/>
        </w:r>
        <w:r>
          <w:rPr>
            <w:noProof/>
            <w:webHidden/>
          </w:rPr>
          <w:instrText xml:space="preserve"> PAGEREF _Toc488066626 \h </w:instrText>
        </w:r>
        <w:r>
          <w:rPr>
            <w:noProof/>
            <w:webHidden/>
          </w:rPr>
        </w:r>
        <w:r>
          <w:rPr>
            <w:noProof/>
            <w:webHidden/>
          </w:rPr>
          <w:fldChar w:fldCharType="separate"/>
        </w:r>
        <w:r>
          <w:rPr>
            <w:noProof/>
            <w:webHidden/>
          </w:rPr>
          <w:t>1</w:t>
        </w:r>
        <w:r>
          <w:rPr>
            <w:noProof/>
            <w:webHidden/>
          </w:rPr>
          <w:fldChar w:fldCharType="end"/>
        </w:r>
      </w:hyperlink>
    </w:p>
    <w:p w:rsidR="00321B6C" w:rsidRDefault="00321B6C">
      <w:pPr>
        <w:pStyle w:val="TOC1"/>
        <w:tabs>
          <w:tab w:val="right" w:leader="dot" w:pos="9016"/>
        </w:tabs>
        <w:rPr>
          <w:rFonts w:asciiTheme="minorHAnsi" w:eastAsiaTheme="minorEastAsia" w:hAnsiTheme="minorHAnsi" w:cstheme="minorBidi"/>
          <w:noProof/>
          <w:color w:val="auto"/>
          <w:szCs w:val="22"/>
          <w:lang w:eastAsia="en-GB"/>
        </w:rPr>
      </w:pPr>
      <w:hyperlink w:anchor="_Toc488066627" w:history="1">
        <w:r w:rsidRPr="00CB5369">
          <w:rPr>
            <w:rStyle w:val="Hyperlink"/>
            <w:noProof/>
          </w:rPr>
          <w:t>3.0 Why should you evaluate your local Pubwatch scheme?</w:t>
        </w:r>
        <w:r>
          <w:rPr>
            <w:noProof/>
            <w:webHidden/>
          </w:rPr>
          <w:tab/>
        </w:r>
        <w:r>
          <w:rPr>
            <w:noProof/>
            <w:webHidden/>
          </w:rPr>
          <w:fldChar w:fldCharType="begin"/>
        </w:r>
        <w:r>
          <w:rPr>
            <w:noProof/>
            <w:webHidden/>
          </w:rPr>
          <w:instrText xml:space="preserve"> PAGEREF _Toc488066627 \h </w:instrText>
        </w:r>
        <w:r>
          <w:rPr>
            <w:noProof/>
            <w:webHidden/>
          </w:rPr>
        </w:r>
        <w:r>
          <w:rPr>
            <w:noProof/>
            <w:webHidden/>
          </w:rPr>
          <w:fldChar w:fldCharType="separate"/>
        </w:r>
        <w:r>
          <w:rPr>
            <w:noProof/>
            <w:webHidden/>
          </w:rPr>
          <w:t>1</w:t>
        </w:r>
        <w:r>
          <w:rPr>
            <w:noProof/>
            <w:webHidden/>
          </w:rPr>
          <w:fldChar w:fldCharType="end"/>
        </w:r>
      </w:hyperlink>
    </w:p>
    <w:p w:rsidR="00321B6C" w:rsidRDefault="00321B6C">
      <w:pPr>
        <w:pStyle w:val="TOC1"/>
        <w:tabs>
          <w:tab w:val="right" w:leader="dot" w:pos="9016"/>
        </w:tabs>
        <w:rPr>
          <w:rFonts w:asciiTheme="minorHAnsi" w:eastAsiaTheme="minorEastAsia" w:hAnsiTheme="minorHAnsi" w:cstheme="minorBidi"/>
          <w:noProof/>
          <w:color w:val="auto"/>
          <w:szCs w:val="22"/>
          <w:lang w:eastAsia="en-GB"/>
        </w:rPr>
      </w:pPr>
      <w:hyperlink w:anchor="_Toc488066628" w:history="1">
        <w:r w:rsidRPr="00CB5369">
          <w:rPr>
            <w:rStyle w:val="Hyperlink"/>
            <w:noProof/>
          </w:rPr>
          <w:t>4.0 What are the local Pubwatch Evaluation Toolkits?</w:t>
        </w:r>
        <w:r>
          <w:rPr>
            <w:noProof/>
            <w:webHidden/>
          </w:rPr>
          <w:tab/>
        </w:r>
        <w:r>
          <w:rPr>
            <w:noProof/>
            <w:webHidden/>
          </w:rPr>
          <w:fldChar w:fldCharType="begin"/>
        </w:r>
        <w:r>
          <w:rPr>
            <w:noProof/>
            <w:webHidden/>
          </w:rPr>
          <w:instrText xml:space="preserve"> PAGEREF _Toc488066628 \h </w:instrText>
        </w:r>
        <w:r>
          <w:rPr>
            <w:noProof/>
            <w:webHidden/>
          </w:rPr>
        </w:r>
        <w:r>
          <w:rPr>
            <w:noProof/>
            <w:webHidden/>
          </w:rPr>
          <w:fldChar w:fldCharType="separate"/>
        </w:r>
        <w:r>
          <w:rPr>
            <w:noProof/>
            <w:webHidden/>
          </w:rPr>
          <w:t>2</w:t>
        </w:r>
        <w:r>
          <w:rPr>
            <w:noProof/>
            <w:webHidden/>
          </w:rPr>
          <w:fldChar w:fldCharType="end"/>
        </w:r>
      </w:hyperlink>
    </w:p>
    <w:p w:rsidR="00321B6C" w:rsidRDefault="00321B6C">
      <w:pPr>
        <w:pStyle w:val="TOC1"/>
        <w:tabs>
          <w:tab w:val="right" w:leader="dot" w:pos="9016"/>
        </w:tabs>
        <w:rPr>
          <w:rFonts w:asciiTheme="minorHAnsi" w:eastAsiaTheme="minorEastAsia" w:hAnsiTheme="minorHAnsi" w:cstheme="minorBidi"/>
          <w:noProof/>
          <w:color w:val="auto"/>
          <w:szCs w:val="22"/>
          <w:lang w:eastAsia="en-GB"/>
        </w:rPr>
      </w:pPr>
      <w:hyperlink w:anchor="_Toc488066629" w:history="1">
        <w:r w:rsidRPr="00CB5369">
          <w:rPr>
            <w:rStyle w:val="Hyperlink"/>
            <w:noProof/>
          </w:rPr>
          <w:t>5.0 What does the Evaluation Toolkit involve?</w:t>
        </w:r>
        <w:r>
          <w:rPr>
            <w:noProof/>
            <w:webHidden/>
          </w:rPr>
          <w:tab/>
        </w:r>
        <w:r>
          <w:rPr>
            <w:noProof/>
            <w:webHidden/>
          </w:rPr>
          <w:fldChar w:fldCharType="begin"/>
        </w:r>
        <w:r>
          <w:rPr>
            <w:noProof/>
            <w:webHidden/>
          </w:rPr>
          <w:instrText xml:space="preserve"> PAGEREF _Toc488066629 \h </w:instrText>
        </w:r>
        <w:r>
          <w:rPr>
            <w:noProof/>
            <w:webHidden/>
          </w:rPr>
        </w:r>
        <w:r>
          <w:rPr>
            <w:noProof/>
            <w:webHidden/>
          </w:rPr>
          <w:fldChar w:fldCharType="separate"/>
        </w:r>
        <w:r>
          <w:rPr>
            <w:noProof/>
            <w:webHidden/>
          </w:rPr>
          <w:t>2</w:t>
        </w:r>
        <w:r>
          <w:rPr>
            <w:noProof/>
            <w:webHidden/>
          </w:rPr>
          <w:fldChar w:fldCharType="end"/>
        </w:r>
      </w:hyperlink>
    </w:p>
    <w:p w:rsidR="00321B6C" w:rsidRDefault="00321B6C">
      <w:pPr>
        <w:pStyle w:val="TOC1"/>
        <w:tabs>
          <w:tab w:val="right" w:leader="dot" w:pos="9016"/>
        </w:tabs>
        <w:rPr>
          <w:rFonts w:asciiTheme="minorHAnsi" w:eastAsiaTheme="minorEastAsia" w:hAnsiTheme="minorHAnsi" w:cstheme="minorBidi"/>
          <w:noProof/>
          <w:color w:val="auto"/>
          <w:szCs w:val="22"/>
          <w:lang w:eastAsia="en-GB"/>
        </w:rPr>
      </w:pPr>
      <w:hyperlink w:anchor="_Toc488066630" w:history="1">
        <w:r w:rsidRPr="00CB5369">
          <w:rPr>
            <w:rStyle w:val="Hyperlink"/>
            <w:noProof/>
          </w:rPr>
          <w:t>6.0 What are the key steps involved in evaluation?</w:t>
        </w:r>
        <w:r>
          <w:rPr>
            <w:noProof/>
            <w:webHidden/>
          </w:rPr>
          <w:tab/>
        </w:r>
        <w:r>
          <w:rPr>
            <w:noProof/>
            <w:webHidden/>
          </w:rPr>
          <w:fldChar w:fldCharType="begin"/>
        </w:r>
        <w:r>
          <w:rPr>
            <w:noProof/>
            <w:webHidden/>
          </w:rPr>
          <w:instrText xml:space="preserve"> PAGEREF _Toc488066630 \h </w:instrText>
        </w:r>
        <w:r>
          <w:rPr>
            <w:noProof/>
            <w:webHidden/>
          </w:rPr>
        </w:r>
        <w:r>
          <w:rPr>
            <w:noProof/>
            <w:webHidden/>
          </w:rPr>
          <w:fldChar w:fldCharType="separate"/>
        </w:r>
        <w:r>
          <w:rPr>
            <w:noProof/>
            <w:webHidden/>
          </w:rPr>
          <w:t>3</w:t>
        </w:r>
        <w:r>
          <w:rPr>
            <w:noProof/>
            <w:webHidden/>
          </w:rPr>
          <w:fldChar w:fldCharType="end"/>
        </w:r>
      </w:hyperlink>
    </w:p>
    <w:p w:rsidR="00321B6C" w:rsidRDefault="00321B6C">
      <w:pPr>
        <w:pStyle w:val="TOC1"/>
        <w:tabs>
          <w:tab w:val="right" w:leader="dot" w:pos="9016"/>
        </w:tabs>
        <w:rPr>
          <w:rFonts w:asciiTheme="minorHAnsi" w:eastAsiaTheme="minorEastAsia" w:hAnsiTheme="minorHAnsi" w:cstheme="minorBidi"/>
          <w:noProof/>
          <w:color w:val="auto"/>
          <w:szCs w:val="22"/>
          <w:lang w:eastAsia="en-GB"/>
        </w:rPr>
      </w:pPr>
      <w:hyperlink w:anchor="_Toc488066631" w:history="1">
        <w:r w:rsidRPr="00CB5369">
          <w:rPr>
            <w:rStyle w:val="Hyperlink"/>
            <w:noProof/>
          </w:rPr>
          <w:t>7.0 When should local Pubwatch scheme evaluations take place?</w:t>
        </w:r>
        <w:r>
          <w:rPr>
            <w:noProof/>
            <w:webHidden/>
          </w:rPr>
          <w:tab/>
        </w:r>
        <w:r>
          <w:rPr>
            <w:noProof/>
            <w:webHidden/>
          </w:rPr>
          <w:fldChar w:fldCharType="begin"/>
        </w:r>
        <w:r>
          <w:rPr>
            <w:noProof/>
            <w:webHidden/>
          </w:rPr>
          <w:instrText xml:space="preserve"> PAGEREF _Toc488066631 \h </w:instrText>
        </w:r>
        <w:r>
          <w:rPr>
            <w:noProof/>
            <w:webHidden/>
          </w:rPr>
        </w:r>
        <w:r>
          <w:rPr>
            <w:noProof/>
            <w:webHidden/>
          </w:rPr>
          <w:fldChar w:fldCharType="separate"/>
        </w:r>
        <w:r>
          <w:rPr>
            <w:noProof/>
            <w:webHidden/>
          </w:rPr>
          <w:t>3</w:t>
        </w:r>
        <w:r>
          <w:rPr>
            <w:noProof/>
            <w:webHidden/>
          </w:rPr>
          <w:fldChar w:fldCharType="end"/>
        </w:r>
      </w:hyperlink>
    </w:p>
    <w:p w:rsidR="00321B6C" w:rsidRDefault="00321B6C">
      <w:pPr>
        <w:pStyle w:val="TOC1"/>
        <w:tabs>
          <w:tab w:val="right" w:leader="dot" w:pos="9016"/>
        </w:tabs>
        <w:rPr>
          <w:rFonts w:asciiTheme="minorHAnsi" w:eastAsiaTheme="minorEastAsia" w:hAnsiTheme="minorHAnsi" w:cstheme="minorBidi"/>
          <w:noProof/>
          <w:color w:val="auto"/>
          <w:szCs w:val="22"/>
          <w:lang w:eastAsia="en-GB"/>
        </w:rPr>
      </w:pPr>
      <w:hyperlink w:anchor="_Toc488066632" w:history="1">
        <w:r w:rsidRPr="00CB5369">
          <w:rPr>
            <w:rStyle w:val="Hyperlink"/>
            <w:noProof/>
          </w:rPr>
          <w:t>Appendices</w:t>
        </w:r>
        <w:r>
          <w:rPr>
            <w:noProof/>
            <w:webHidden/>
          </w:rPr>
          <w:tab/>
        </w:r>
        <w:r>
          <w:rPr>
            <w:noProof/>
            <w:webHidden/>
          </w:rPr>
          <w:fldChar w:fldCharType="begin"/>
        </w:r>
        <w:r>
          <w:rPr>
            <w:noProof/>
            <w:webHidden/>
          </w:rPr>
          <w:instrText xml:space="preserve"> PAGEREF _Toc488066632 \h </w:instrText>
        </w:r>
        <w:r>
          <w:rPr>
            <w:noProof/>
            <w:webHidden/>
          </w:rPr>
        </w:r>
        <w:r>
          <w:rPr>
            <w:noProof/>
            <w:webHidden/>
          </w:rPr>
          <w:fldChar w:fldCharType="separate"/>
        </w:r>
        <w:r>
          <w:rPr>
            <w:noProof/>
            <w:webHidden/>
          </w:rPr>
          <w:t>4</w:t>
        </w:r>
        <w:r>
          <w:rPr>
            <w:noProof/>
            <w:webHidden/>
          </w:rPr>
          <w:fldChar w:fldCharType="end"/>
        </w:r>
      </w:hyperlink>
    </w:p>
    <w:p w:rsidR="00EB055D" w:rsidRDefault="00867FF6">
      <w:r>
        <w:fldChar w:fldCharType="end"/>
      </w:r>
    </w:p>
    <w:p w:rsidR="00365EF3" w:rsidRDefault="00365EF3" w:rsidP="008633A9">
      <w:pPr>
        <w:pStyle w:val="Heading1"/>
      </w:pPr>
      <w:bookmarkStart w:id="0" w:name="_Toc408837798"/>
      <w:bookmarkStart w:id="1" w:name="_Toc408919861"/>
      <w:bookmarkStart w:id="2" w:name="_Toc410555854"/>
    </w:p>
    <w:p w:rsidR="008633A9" w:rsidRDefault="008633A9" w:rsidP="008633A9"/>
    <w:p w:rsidR="008633A9" w:rsidRDefault="008633A9" w:rsidP="008633A9"/>
    <w:p w:rsidR="008633A9" w:rsidRDefault="008633A9" w:rsidP="008633A9"/>
    <w:p w:rsidR="008633A9" w:rsidRDefault="008633A9" w:rsidP="008633A9"/>
    <w:p w:rsidR="008633A9" w:rsidRDefault="008633A9" w:rsidP="008633A9"/>
    <w:p w:rsidR="008633A9" w:rsidRDefault="008633A9" w:rsidP="008633A9"/>
    <w:p w:rsidR="008633A9" w:rsidRDefault="008633A9" w:rsidP="008633A9"/>
    <w:p w:rsidR="008633A9" w:rsidRDefault="008633A9" w:rsidP="008633A9"/>
    <w:p w:rsidR="008633A9" w:rsidRDefault="008633A9" w:rsidP="008633A9"/>
    <w:p w:rsidR="008633A9" w:rsidRDefault="008633A9" w:rsidP="008633A9"/>
    <w:p w:rsidR="008633A9" w:rsidRDefault="008633A9" w:rsidP="008633A9"/>
    <w:p w:rsidR="008633A9" w:rsidRDefault="008633A9" w:rsidP="008633A9"/>
    <w:p w:rsidR="008633A9" w:rsidRDefault="008633A9" w:rsidP="008633A9"/>
    <w:p w:rsidR="008633A9" w:rsidRDefault="008633A9" w:rsidP="008633A9"/>
    <w:p w:rsidR="008633A9" w:rsidRDefault="008633A9" w:rsidP="008633A9"/>
    <w:p w:rsidR="008633A9" w:rsidRDefault="008633A9" w:rsidP="008633A9"/>
    <w:p w:rsidR="008633A9" w:rsidRDefault="008633A9" w:rsidP="008633A9">
      <w:pPr>
        <w:rPr>
          <w:noProof/>
          <w:lang w:eastAsia="en-GB"/>
        </w:rPr>
      </w:pPr>
    </w:p>
    <w:p w:rsidR="008633A9" w:rsidRDefault="008633A9" w:rsidP="008633A9">
      <w:pPr>
        <w:rPr>
          <w:noProof/>
          <w:lang w:eastAsia="en-GB"/>
        </w:rPr>
      </w:pPr>
    </w:p>
    <w:p w:rsidR="003A688B" w:rsidRDefault="003A688B" w:rsidP="008633A9">
      <w:pPr>
        <w:rPr>
          <w:noProof/>
          <w:lang w:eastAsia="en-GB"/>
        </w:rPr>
      </w:pPr>
    </w:p>
    <w:p w:rsidR="003A688B" w:rsidRDefault="003A688B" w:rsidP="008633A9">
      <w:pPr>
        <w:rPr>
          <w:noProof/>
          <w:lang w:eastAsia="en-GB"/>
        </w:rPr>
      </w:pPr>
    </w:p>
    <w:p w:rsidR="003A688B" w:rsidRDefault="003A688B" w:rsidP="008633A9">
      <w:pPr>
        <w:rPr>
          <w:noProof/>
          <w:lang w:eastAsia="en-GB"/>
        </w:rPr>
      </w:pPr>
    </w:p>
    <w:p w:rsidR="003A688B" w:rsidRDefault="003A688B" w:rsidP="008633A9">
      <w:pPr>
        <w:rPr>
          <w:noProof/>
          <w:lang w:eastAsia="en-GB"/>
        </w:rPr>
      </w:pPr>
    </w:p>
    <w:p w:rsidR="008633A9" w:rsidRDefault="008633A9" w:rsidP="008633A9">
      <w:pPr>
        <w:rPr>
          <w:noProof/>
          <w:lang w:eastAsia="en-GB"/>
        </w:rPr>
      </w:pPr>
    </w:p>
    <w:p w:rsidR="008633A9" w:rsidRDefault="008633A9" w:rsidP="008633A9">
      <w:pPr>
        <w:rPr>
          <w:noProof/>
          <w:lang w:eastAsia="en-GB"/>
        </w:rPr>
      </w:pPr>
    </w:p>
    <w:p w:rsidR="008633A9" w:rsidRDefault="00740F42" w:rsidP="008633A9">
      <w:r>
        <w:rPr>
          <w:noProof/>
          <w:lang w:eastAsia="en-GB"/>
        </w:rPr>
        <w:drawing>
          <wp:inline distT="0" distB="0" distL="0" distR="0">
            <wp:extent cx="1863090" cy="603885"/>
            <wp:effectExtent l="19050" t="0" r="3810" b="0"/>
            <wp:docPr id="4" name="Picture 2" descr="C:\Users\kenyon01\AppData\Local\Microsoft\Windows\Temporary Internet Files\Content.Outlook\MFHUIOQQ\Portman_Group_Logo 2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enyon01\AppData\Local\Microsoft\Windows\Temporary Internet Files\Content.Outlook\MFHUIOQQ\Portman_Group_Logo 2007.jpg"/>
                    <pic:cNvPicPr>
                      <a:picLocks noChangeAspect="1" noChangeArrowheads="1"/>
                    </pic:cNvPicPr>
                  </pic:nvPicPr>
                  <pic:blipFill>
                    <a:blip r:embed="rId12" cstate="print"/>
                    <a:srcRect/>
                    <a:stretch>
                      <a:fillRect/>
                    </a:stretch>
                  </pic:blipFill>
                  <pic:spPr bwMode="auto">
                    <a:xfrm>
                      <a:off x="0" y="0"/>
                      <a:ext cx="1863090" cy="603885"/>
                    </a:xfrm>
                    <a:prstGeom prst="rect">
                      <a:avLst/>
                    </a:prstGeom>
                    <a:noFill/>
                    <a:ln w="9525">
                      <a:noFill/>
                      <a:miter lim="800000"/>
                      <a:headEnd/>
                      <a:tailEnd/>
                    </a:ln>
                  </pic:spPr>
                </pic:pic>
              </a:graphicData>
            </a:graphic>
          </wp:inline>
        </w:drawing>
      </w:r>
    </w:p>
    <w:p w:rsidR="008633A9" w:rsidRDefault="008633A9" w:rsidP="008633A9"/>
    <w:p w:rsidR="008633A9" w:rsidRDefault="008633A9" w:rsidP="008633A9"/>
    <w:p w:rsidR="008633A9" w:rsidRPr="008633A9" w:rsidRDefault="008633A9" w:rsidP="008633A9">
      <w:pPr>
        <w:sectPr w:rsidR="008633A9" w:rsidRPr="008633A9" w:rsidSect="00637BF5">
          <w:pgSz w:w="11906" w:h="16838" w:code="9"/>
          <w:pgMar w:top="1440" w:right="1440" w:bottom="1440" w:left="1440" w:header="709" w:footer="709" w:gutter="0"/>
          <w:pgNumType w:start="0"/>
          <w:cols w:space="708"/>
          <w:titlePg/>
          <w:docGrid w:linePitch="360"/>
        </w:sectPr>
      </w:pPr>
      <w:r w:rsidRPr="008633A9">
        <w:rPr>
          <w:lang w:eastAsia="en-GB"/>
        </w:rPr>
        <w:t xml:space="preserve">The Portman Group, on behalf of </w:t>
      </w:r>
      <w:proofErr w:type="gramStart"/>
      <w:r w:rsidRPr="008633A9">
        <w:rPr>
          <w:lang w:eastAsia="en-GB"/>
        </w:rPr>
        <w:t xml:space="preserve">the </w:t>
      </w:r>
      <w:r w:rsidR="003819D2">
        <w:rPr>
          <w:lang w:eastAsia="en-GB"/>
        </w:rPr>
        <w:t xml:space="preserve"> Local</w:t>
      </w:r>
      <w:proofErr w:type="gramEnd"/>
      <w:r w:rsidR="003819D2">
        <w:rPr>
          <w:lang w:eastAsia="en-GB"/>
        </w:rPr>
        <w:t xml:space="preserve"> Alcohol Partnership</w:t>
      </w:r>
      <w:r w:rsidRPr="008633A9">
        <w:rPr>
          <w:lang w:eastAsia="en-GB"/>
        </w:rPr>
        <w:t>, provided the funding for Leeds Beckett University to develop the evaluation toolkit</w:t>
      </w:r>
      <w:r w:rsidR="006D0F67">
        <w:rPr>
          <w:lang w:eastAsia="en-GB"/>
        </w:rPr>
        <w:t xml:space="preserve"> in partnership with the scheme</w:t>
      </w:r>
    </w:p>
    <w:p w:rsidR="00B15D99" w:rsidRDefault="006D0F67" w:rsidP="006D0F67">
      <w:pPr>
        <w:pStyle w:val="Heading1"/>
        <w:spacing w:before="0"/>
      </w:pPr>
      <w:bookmarkStart w:id="3" w:name="_Toc488066625"/>
      <w:r>
        <w:lastRenderedPageBreak/>
        <w:t xml:space="preserve">1.0 </w:t>
      </w:r>
      <w:r w:rsidR="00B06B0B">
        <w:t>What is a</w:t>
      </w:r>
      <w:r w:rsidR="00493074">
        <w:t xml:space="preserve"> </w:t>
      </w:r>
      <w:r w:rsidR="00B15D99" w:rsidRPr="00AC7886">
        <w:t>Pubwatch</w:t>
      </w:r>
      <w:bookmarkEnd w:id="0"/>
      <w:bookmarkEnd w:id="1"/>
      <w:bookmarkEnd w:id="2"/>
      <w:r w:rsidR="00B15D99" w:rsidRPr="00AC7886">
        <w:t xml:space="preserve"> </w:t>
      </w:r>
      <w:r w:rsidR="00493074">
        <w:t>s</w:t>
      </w:r>
      <w:r w:rsidR="00B15D99" w:rsidRPr="00AC7886">
        <w:t>cheme?</w:t>
      </w:r>
      <w:bookmarkEnd w:id="3"/>
    </w:p>
    <w:p w:rsidR="006D0F67" w:rsidRPr="006D0F67" w:rsidRDefault="006D0F67" w:rsidP="006D0F67"/>
    <w:p w:rsidR="00B15D99" w:rsidRDefault="00B06B0B" w:rsidP="00174D45">
      <w:pPr>
        <w:jc w:val="both"/>
        <w:rPr>
          <w:color w:val="333333"/>
          <w:szCs w:val="22"/>
        </w:rPr>
      </w:pPr>
      <w:r>
        <w:rPr>
          <w:rFonts w:eastAsia="Times New Roman"/>
        </w:rPr>
        <w:t xml:space="preserve">A Pubwatch scheme is a voluntary group of licensees working in an area who are concerned about local crime and safety issues in their pubs and bars and who come together to find solutions to address their local problems.  </w:t>
      </w:r>
      <w:r w:rsidR="00B15D99">
        <w:rPr>
          <w:shd w:val="clear" w:color="auto" w:fill="FFFFFF"/>
        </w:rPr>
        <w:t>National</w:t>
      </w:r>
      <w:r w:rsidR="00B15D99">
        <w:rPr>
          <w:rStyle w:val="apple-converted-space"/>
          <w:rFonts w:ascii="Arial" w:hAnsi="Arial"/>
          <w:b/>
          <w:bCs/>
          <w:color w:val="212121"/>
          <w:sz w:val="18"/>
          <w:szCs w:val="18"/>
          <w:shd w:val="clear" w:color="auto" w:fill="FFFFFF"/>
        </w:rPr>
        <w:t> </w:t>
      </w:r>
      <w:r w:rsidR="00B15D99">
        <w:rPr>
          <w:shd w:val="clear" w:color="auto" w:fill="FFFFFF"/>
        </w:rPr>
        <w:t>Pubwatch</w:t>
      </w:r>
      <w:r w:rsidR="00B15D99">
        <w:rPr>
          <w:rStyle w:val="apple-converted-space"/>
          <w:rFonts w:ascii="Arial" w:hAnsi="Arial"/>
          <w:b/>
          <w:bCs/>
          <w:color w:val="212121"/>
          <w:sz w:val="18"/>
          <w:szCs w:val="18"/>
          <w:shd w:val="clear" w:color="auto" w:fill="FFFFFF"/>
        </w:rPr>
        <w:t> </w:t>
      </w:r>
      <w:r w:rsidR="00B15D99">
        <w:rPr>
          <w:shd w:val="clear" w:color="auto" w:fill="FFFFFF"/>
        </w:rPr>
        <w:t>believes that a well-run and effective</w:t>
      </w:r>
      <w:r w:rsidR="00B15D99">
        <w:rPr>
          <w:rStyle w:val="apple-converted-space"/>
          <w:rFonts w:ascii="Arial" w:hAnsi="Arial"/>
          <w:b/>
          <w:bCs/>
          <w:color w:val="212121"/>
          <w:sz w:val="18"/>
          <w:szCs w:val="18"/>
          <w:shd w:val="clear" w:color="auto" w:fill="FFFFFF"/>
        </w:rPr>
        <w:t> </w:t>
      </w:r>
      <w:r w:rsidR="00B15D99">
        <w:rPr>
          <w:shd w:val="clear" w:color="auto" w:fill="FFFFFF"/>
        </w:rPr>
        <w:t>Pubwatch</w:t>
      </w:r>
      <w:r w:rsidR="00B15D99">
        <w:rPr>
          <w:rStyle w:val="apple-converted-space"/>
          <w:rFonts w:ascii="Arial" w:hAnsi="Arial"/>
          <w:b/>
          <w:bCs/>
          <w:color w:val="212121"/>
          <w:sz w:val="18"/>
          <w:szCs w:val="18"/>
          <w:shd w:val="clear" w:color="auto" w:fill="FFFFFF"/>
        </w:rPr>
        <w:t> </w:t>
      </w:r>
      <w:r w:rsidR="00493074">
        <w:rPr>
          <w:rStyle w:val="apple-converted-space"/>
          <w:rFonts w:ascii="Arial" w:hAnsi="Arial"/>
          <w:b/>
          <w:bCs/>
          <w:color w:val="212121"/>
          <w:sz w:val="18"/>
          <w:szCs w:val="18"/>
          <w:shd w:val="clear" w:color="auto" w:fill="FFFFFF"/>
        </w:rPr>
        <w:t>s</w:t>
      </w:r>
      <w:r w:rsidR="00B15D99">
        <w:rPr>
          <w:shd w:val="clear" w:color="auto" w:fill="FFFFFF"/>
        </w:rPr>
        <w:t>cheme promotes the licensing objectives and furthers the interests of its members, by helping to create a safe and secure drinking environment and reducing alcohol-related crime.</w:t>
      </w:r>
    </w:p>
    <w:p w:rsidR="00B15D99" w:rsidRDefault="00B15D99" w:rsidP="00174D45">
      <w:pPr>
        <w:jc w:val="both"/>
        <w:rPr>
          <w:color w:val="333333"/>
          <w:szCs w:val="22"/>
        </w:rPr>
      </w:pPr>
    </w:p>
    <w:p w:rsidR="00B15D99" w:rsidRPr="00E23C0F" w:rsidRDefault="00B15D99" w:rsidP="00174D45">
      <w:pPr>
        <w:jc w:val="both"/>
      </w:pPr>
      <w:r>
        <w:t xml:space="preserve">This Pubwatch Evaluation Toolkit provides you with information, </w:t>
      </w:r>
      <w:r w:rsidRPr="00E23C0F">
        <w:t>process</w:t>
      </w:r>
      <w:r>
        <w:t>es and ways to</w:t>
      </w:r>
      <w:r w:rsidRPr="00E23C0F">
        <w:t xml:space="preserve"> </w:t>
      </w:r>
      <w:r>
        <w:t>provide evidence that y</w:t>
      </w:r>
      <w:r w:rsidRPr="00E23C0F">
        <w:t xml:space="preserve">our </w:t>
      </w:r>
      <w:r w:rsidR="00493074">
        <w:t>l</w:t>
      </w:r>
      <w:r>
        <w:t xml:space="preserve">ocal Pubwatch </w:t>
      </w:r>
      <w:r w:rsidR="00493074">
        <w:t>s</w:t>
      </w:r>
      <w:r>
        <w:t xml:space="preserve">cheme has helped to </w:t>
      </w:r>
      <w:r w:rsidRPr="000121A5">
        <w:rPr>
          <w:b/>
        </w:rPr>
        <w:t>reduce</w:t>
      </w:r>
      <w:r>
        <w:t xml:space="preserve"> alcohol-related crime</w:t>
      </w:r>
      <w:r w:rsidR="000A1766">
        <w:t>,</w:t>
      </w:r>
      <w:r>
        <w:t xml:space="preserve"> disorder</w:t>
      </w:r>
      <w:r w:rsidR="000A1766">
        <w:t xml:space="preserve"> </w:t>
      </w:r>
      <w:r>
        <w:t>in your town “after dark”</w:t>
      </w:r>
      <w:r w:rsidR="00CF26F8">
        <w:t>*</w:t>
      </w:r>
      <w:r w:rsidR="000A1766">
        <w:t xml:space="preserve">, </w:t>
      </w:r>
      <w:r w:rsidR="000A1766" w:rsidRPr="00493074">
        <w:rPr>
          <w:b/>
        </w:rPr>
        <w:t>build</w:t>
      </w:r>
      <w:r w:rsidR="000A1766">
        <w:t xml:space="preserve"> positive relationships within your town or city, </w:t>
      </w:r>
      <w:r w:rsidR="000A1766" w:rsidRPr="00493074">
        <w:rPr>
          <w:b/>
        </w:rPr>
        <w:t>improve</w:t>
      </w:r>
      <w:r w:rsidR="000A1766">
        <w:t xml:space="preserve"> data sharing and</w:t>
      </w:r>
      <w:r>
        <w:t xml:space="preserve"> </w:t>
      </w:r>
      <w:r w:rsidRPr="000121A5">
        <w:rPr>
          <w:b/>
        </w:rPr>
        <w:t>increase</w:t>
      </w:r>
      <w:r>
        <w:t xml:space="preserve"> the feeling of safety for employees and consumers.  </w:t>
      </w:r>
    </w:p>
    <w:p w:rsidR="00B15D99" w:rsidRPr="006D0F67" w:rsidRDefault="006D0F67" w:rsidP="006D0F67">
      <w:pPr>
        <w:pStyle w:val="Heading1"/>
      </w:pPr>
      <w:bookmarkStart w:id="4" w:name="_Toc410555858"/>
      <w:bookmarkStart w:id="5" w:name="_Toc408837802"/>
      <w:bookmarkStart w:id="6" w:name="_Toc408919865"/>
      <w:bookmarkStart w:id="7" w:name="_Toc488066626"/>
      <w:r>
        <w:t xml:space="preserve">2.0 </w:t>
      </w:r>
      <w:r w:rsidR="00B322D4" w:rsidRPr="006D0F67">
        <w:t xml:space="preserve">What </w:t>
      </w:r>
      <w:r w:rsidR="000A1766" w:rsidRPr="006D0F67">
        <w:t xml:space="preserve">are the objectives </w:t>
      </w:r>
      <w:r w:rsidR="00B15D99" w:rsidRPr="006D0F67">
        <w:t xml:space="preserve">of </w:t>
      </w:r>
      <w:r w:rsidR="00B322D4" w:rsidRPr="006D0F67">
        <w:t>a</w:t>
      </w:r>
      <w:r w:rsidR="00B15D99" w:rsidRPr="006D0F67">
        <w:t xml:space="preserve"> </w:t>
      </w:r>
      <w:r w:rsidR="00493074" w:rsidRPr="006D0F67">
        <w:t>l</w:t>
      </w:r>
      <w:r w:rsidR="00B15D99" w:rsidRPr="006D0F67">
        <w:t>ocal Pubwatch</w:t>
      </w:r>
      <w:bookmarkEnd w:id="4"/>
      <w:r w:rsidR="00493074" w:rsidRPr="006D0F67">
        <w:t xml:space="preserve"> scheme</w:t>
      </w:r>
      <w:r w:rsidR="005C5406" w:rsidRPr="006D0F67">
        <w:t>?</w:t>
      </w:r>
      <w:bookmarkEnd w:id="7"/>
      <w:r w:rsidR="00B15D99" w:rsidRPr="006D0F67">
        <w:t xml:space="preserve"> </w:t>
      </w:r>
      <w:bookmarkEnd w:id="5"/>
      <w:bookmarkEnd w:id="6"/>
    </w:p>
    <w:p w:rsidR="006D0F67" w:rsidRPr="006D0F67" w:rsidRDefault="006D0F67" w:rsidP="006D0F67">
      <w:pPr>
        <w:pStyle w:val="ListParagraph"/>
      </w:pPr>
    </w:p>
    <w:p w:rsidR="000A1766" w:rsidRDefault="00B15D99" w:rsidP="00174D45">
      <w:pPr>
        <w:jc w:val="both"/>
        <w:rPr>
          <w:i/>
        </w:rPr>
      </w:pPr>
      <w:r>
        <w:t xml:space="preserve">The </w:t>
      </w:r>
      <w:r w:rsidR="00B322D4">
        <w:t xml:space="preserve">overall </w:t>
      </w:r>
      <w:r w:rsidR="0010305B">
        <w:t>aim of a local Pubwatch s</w:t>
      </w:r>
      <w:r>
        <w:t xml:space="preserve">cheme is </w:t>
      </w:r>
      <w:r w:rsidRPr="00B322D4">
        <w:rPr>
          <w:i/>
        </w:rPr>
        <w:t>“</w:t>
      </w:r>
      <w:r w:rsidR="00B322D4" w:rsidRPr="00B322D4">
        <w:rPr>
          <w:i/>
        </w:rPr>
        <w:t>to help create a safe and secure drinking environment and reduce alcohol-related crime</w:t>
      </w:r>
      <w:r w:rsidRPr="00B322D4">
        <w:rPr>
          <w:i/>
        </w:rPr>
        <w:t>”.</w:t>
      </w:r>
      <w:r w:rsidRPr="00637E5D">
        <w:rPr>
          <w:i/>
        </w:rPr>
        <w:t xml:space="preserve">  </w:t>
      </w:r>
      <w:r w:rsidR="00282578">
        <w:t>To</w:t>
      </w:r>
      <w:r w:rsidR="000A1766" w:rsidRPr="00493074">
        <w:t xml:space="preserve"> </w:t>
      </w:r>
      <w:r w:rsidR="0010305B">
        <w:t xml:space="preserve">achieve that aim the </w:t>
      </w:r>
      <w:r w:rsidR="000A1766" w:rsidRPr="00493074">
        <w:t>objectives are:</w:t>
      </w:r>
      <w:r w:rsidR="000A1766">
        <w:rPr>
          <w:i/>
        </w:rPr>
        <w:t xml:space="preserve"> </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384"/>
        <w:gridCol w:w="7858"/>
      </w:tblGrid>
      <w:tr w:rsidR="00BB783F" w:rsidRPr="00741288" w:rsidTr="00E60AD4">
        <w:tc>
          <w:tcPr>
            <w:tcW w:w="1384" w:type="dxa"/>
            <w:shd w:val="clear" w:color="auto" w:fill="DBE5F1" w:themeFill="accent1" w:themeFillTint="33"/>
          </w:tcPr>
          <w:p w:rsidR="00BB783F" w:rsidRPr="00741288" w:rsidRDefault="00BB783F" w:rsidP="00174D45">
            <w:pPr>
              <w:jc w:val="both"/>
              <w:rPr>
                <w:sz w:val="24"/>
                <w:szCs w:val="24"/>
              </w:rPr>
            </w:pPr>
            <w:r w:rsidRPr="00741288">
              <w:rPr>
                <w:sz w:val="24"/>
                <w:szCs w:val="24"/>
              </w:rPr>
              <w:t>Objective 1</w:t>
            </w:r>
          </w:p>
        </w:tc>
        <w:tc>
          <w:tcPr>
            <w:tcW w:w="7858" w:type="dxa"/>
            <w:shd w:val="clear" w:color="auto" w:fill="DBE5F1" w:themeFill="accent1" w:themeFillTint="33"/>
          </w:tcPr>
          <w:p w:rsidR="00BB783F" w:rsidRPr="00741288" w:rsidRDefault="00BB783F" w:rsidP="00BB783F">
            <w:pPr>
              <w:rPr>
                <w:sz w:val="24"/>
                <w:szCs w:val="24"/>
              </w:rPr>
            </w:pPr>
            <w:r w:rsidRPr="00741288">
              <w:rPr>
                <w:sz w:val="24"/>
                <w:szCs w:val="24"/>
              </w:rPr>
              <w:t xml:space="preserve">Reduce alcohol-related crime, disorder and anti-social behaviour </w:t>
            </w:r>
          </w:p>
          <w:p w:rsidR="00BB783F" w:rsidRPr="00741288" w:rsidRDefault="00BB783F" w:rsidP="00BB783F">
            <w:pPr>
              <w:rPr>
                <w:sz w:val="24"/>
                <w:szCs w:val="24"/>
              </w:rPr>
            </w:pPr>
          </w:p>
        </w:tc>
      </w:tr>
      <w:tr w:rsidR="00BB783F" w:rsidRPr="00741288" w:rsidTr="00E60AD4">
        <w:tc>
          <w:tcPr>
            <w:tcW w:w="1384" w:type="dxa"/>
            <w:shd w:val="clear" w:color="auto" w:fill="DBE5F1" w:themeFill="accent1" w:themeFillTint="33"/>
          </w:tcPr>
          <w:p w:rsidR="00BB783F" w:rsidRPr="00741288" w:rsidRDefault="00BB783F" w:rsidP="00174D45">
            <w:pPr>
              <w:jc w:val="both"/>
              <w:rPr>
                <w:sz w:val="24"/>
                <w:szCs w:val="24"/>
              </w:rPr>
            </w:pPr>
            <w:r w:rsidRPr="00741288">
              <w:rPr>
                <w:sz w:val="24"/>
                <w:szCs w:val="24"/>
              </w:rPr>
              <w:t>Objective 2</w:t>
            </w:r>
          </w:p>
        </w:tc>
        <w:tc>
          <w:tcPr>
            <w:tcW w:w="7858" w:type="dxa"/>
            <w:shd w:val="clear" w:color="auto" w:fill="DBE5F1" w:themeFill="accent1" w:themeFillTint="33"/>
          </w:tcPr>
          <w:p w:rsidR="00BB783F" w:rsidRPr="00741288" w:rsidRDefault="00BB783F" w:rsidP="00BB783F">
            <w:pPr>
              <w:rPr>
                <w:sz w:val="24"/>
                <w:szCs w:val="24"/>
              </w:rPr>
            </w:pPr>
            <w:r w:rsidRPr="00741288">
              <w:rPr>
                <w:sz w:val="24"/>
                <w:szCs w:val="24"/>
              </w:rPr>
              <w:t>Reduce alcohol-related health harm</w:t>
            </w:r>
          </w:p>
          <w:p w:rsidR="00BB783F" w:rsidRPr="00741288" w:rsidRDefault="00BB783F" w:rsidP="00BB783F">
            <w:pPr>
              <w:rPr>
                <w:sz w:val="24"/>
                <w:szCs w:val="24"/>
              </w:rPr>
            </w:pPr>
          </w:p>
        </w:tc>
      </w:tr>
      <w:tr w:rsidR="00BB783F" w:rsidRPr="00741288" w:rsidTr="00E60AD4">
        <w:tc>
          <w:tcPr>
            <w:tcW w:w="1384" w:type="dxa"/>
            <w:shd w:val="clear" w:color="auto" w:fill="DBE5F1" w:themeFill="accent1" w:themeFillTint="33"/>
          </w:tcPr>
          <w:p w:rsidR="00BB783F" w:rsidRPr="00741288" w:rsidRDefault="00BB783F" w:rsidP="00174D45">
            <w:pPr>
              <w:jc w:val="both"/>
              <w:rPr>
                <w:sz w:val="24"/>
                <w:szCs w:val="24"/>
              </w:rPr>
            </w:pPr>
            <w:r w:rsidRPr="00741288">
              <w:rPr>
                <w:sz w:val="24"/>
                <w:szCs w:val="24"/>
              </w:rPr>
              <w:t xml:space="preserve">Objective 3 </w:t>
            </w:r>
          </w:p>
        </w:tc>
        <w:tc>
          <w:tcPr>
            <w:tcW w:w="7858" w:type="dxa"/>
            <w:shd w:val="clear" w:color="auto" w:fill="DBE5F1" w:themeFill="accent1" w:themeFillTint="33"/>
          </w:tcPr>
          <w:p w:rsidR="00BB783F" w:rsidRPr="00741288" w:rsidRDefault="00BB783F" w:rsidP="00BB783F">
            <w:pPr>
              <w:rPr>
                <w:sz w:val="24"/>
                <w:szCs w:val="24"/>
              </w:rPr>
            </w:pPr>
            <w:r w:rsidRPr="00741288">
              <w:rPr>
                <w:sz w:val="24"/>
                <w:szCs w:val="24"/>
              </w:rPr>
              <w:t>Build positive perceptions of the local Pubwatch scheme</w:t>
            </w:r>
          </w:p>
          <w:p w:rsidR="00BB783F" w:rsidRPr="00741288" w:rsidRDefault="00BB783F" w:rsidP="00BB783F">
            <w:pPr>
              <w:rPr>
                <w:sz w:val="24"/>
                <w:szCs w:val="24"/>
              </w:rPr>
            </w:pPr>
          </w:p>
        </w:tc>
      </w:tr>
      <w:tr w:rsidR="00BB783F" w:rsidRPr="00741288" w:rsidTr="00E60AD4">
        <w:tc>
          <w:tcPr>
            <w:tcW w:w="1384" w:type="dxa"/>
            <w:shd w:val="clear" w:color="auto" w:fill="DBE5F1" w:themeFill="accent1" w:themeFillTint="33"/>
          </w:tcPr>
          <w:p w:rsidR="00BB783F" w:rsidRPr="00741288" w:rsidRDefault="00BB783F" w:rsidP="00BB783F">
            <w:pPr>
              <w:jc w:val="both"/>
              <w:rPr>
                <w:sz w:val="24"/>
                <w:szCs w:val="24"/>
              </w:rPr>
            </w:pPr>
            <w:r w:rsidRPr="00741288">
              <w:rPr>
                <w:sz w:val="24"/>
                <w:szCs w:val="24"/>
              </w:rPr>
              <w:t>Objective 4</w:t>
            </w:r>
          </w:p>
        </w:tc>
        <w:tc>
          <w:tcPr>
            <w:tcW w:w="7858" w:type="dxa"/>
            <w:shd w:val="clear" w:color="auto" w:fill="DBE5F1" w:themeFill="accent1" w:themeFillTint="33"/>
          </w:tcPr>
          <w:p w:rsidR="00BB783F" w:rsidRPr="00741288" w:rsidRDefault="00BB783F" w:rsidP="00BB783F">
            <w:pPr>
              <w:rPr>
                <w:sz w:val="24"/>
                <w:szCs w:val="24"/>
              </w:rPr>
            </w:pPr>
            <w:r w:rsidRPr="00741288">
              <w:rPr>
                <w:sz w:val="24"/>
                <w:szCs w:val="24"/>
              </w:rPr>
              <w:t>Build positive relationships between licensees and other invited guests present at Pubwatch meetings (invited guests include trade, police, local authorities and/or other agencies)</w:t>
            </w:r>
          </w:p>
        </w:tc>
      </w:tr>
      <w:tr w:rsidR="00BB783F" w:rsidRPr="00741288" w:rsidTr="00E60AD4">
        <w:tc>
          <w:tcPr>
            <w:tcW w:w="1384" w:type="dxa"/>
            <w:shd w:val="clear" w:color="auto" w:fill="DBE5F1" w:themeFill="accent1" w:themeFillTint="33"/>
          </w:tcPr>
          <w:p w:rsidR="00BB783F" w:rsidRPr="00741288" w:rsidRDefault="00BB783F" w:rsidP="00BB783F">
            <w:pPr>
              <w:jc w:val="both"/>
              <w:rPr>
                <w:sz w:val="24"/>
                <w:szCs w:val="24"/>
              </w:rPr>
            </w:pPr>
            <w:r w:rsidRPr="00741288">
              <w:rPr>
                <w:sz w:val="24"/>
                <w:szCs w:val="24"/>
              </w:rPr>
              <w:t>Objective 5</w:t>
            </w:r>
          </w:p>
        </w:tc>
        <w:tc>
          <w:tcPr>
            <w:tcW w:w="7858" w:type="dxa"/>
            <w:shd w:val="clear" w:color="auto" w:fill="DBE5F1" w:themeFill="accent1" w:themeFillTint="33"/>
          </w:tcPr>
          <w:p w:rsidR="00BB783F" w:rsidRPr="00741288" w:rsidRDefault="00BB783F" w:rsidP="00BB783F">
            <w:pPr>
              <w:rPr>
                <w:sz w:val="24"/>
                <w:szCs w:val="24"/>
              </w:rPr>
            </w:pPr>
            <w:r w:rsidRPr="00741288">
              <w:rPr>
                <w:sz w:val="24"/>
                <w:szCs w:val="24"/>
              </w:rPr>
              <w:t>Improve data sharing information about the night-time economy*</w:t>
            </w:r>
          </w:p>
          <w:p w:rsidR="00BB783F" w:rsidRPr="00741288" w:rsidRDefault="00BB783F" w:rsidP="00BB783F">
            <w:pPr>
              <w:rPr>
                <w:sz w:val="24"/>
                <w:szCs w:val="24"/>
              </w:rPr>
            </w:pPr>
          </w:p>
        </w:tc>
      </w:tr>
      <w:tr w:rsidR="00BB783F" w:rsidRPr="00741288" w:rsidTr="00E60AD4">
        <w:tc>
          <w:tcPr>
            <w:tcW w:w="1384" w:type="dxa"/>
            <w:shd w:val="clear" w:color="auto" w:fill="DBE5F1" w:themeFill="accent1" w:themeFillTint="33"/>
          </w:tcPr>
          <w:p w:rsidR="00BB783F" w:rsidRPr="00741288" w:rsidRDefault="00BB783F" w:rsidP="00BB783F">
            <w:pPr>
              <w:jc w:val="both"/>
              <w:rPr>
                <w:sz w:val="24"/>
                <w:szCs w:val="24"/>
              </w:rPr>
            </w:pPr>
            <w:r w:rsidRPr="00741288">
              <w:rPr>
                <w:sz w:val="24"/>
                <w:szCs w:val="24"/>
              </w:rPr>
              <w:t xml:space="preserve">Objective 6 </w:t>
            </w:r>
          </w:p>
        </w:tc>
        <w:tc>
          <w:tcPr>
            <w:tcW w:w="7858" w:type="dxa"/>
            <w:shd w:val="clear" w:color="auto" w:fill="DBE5F1" w:themeFill="accent1" w:themeFillTint="33"/>
          </w:tcPr>
          <w:p w:rsidR="00BB783F" w:rsidRPr="00741288" w:rsidRDefault="00BB783F" w:rsidP="00BB783F">
            <w:pPr>
              <w:rPr>
                <w:sz w:val="24"/>
                <w:szCs w:val="24"/>
              </w:rPr>
            </w:pPr>
            <w:r w:rsidRPr="00741288">
              <w:rPr>
                <w:sz w:val="24"/>
                <w:szCs w:val="24"/>
              </w:rPr>
              <w:t>Improve business performance during the night-time economy*</w:t>
            </w:r>
          </w:p>
          <w:p w:rsidR="00BB783F" w:rsidRPr="00741288" w:rsidRDefault="00BB783F" w:rsidP="00BB783F">
            <w:pPr>
              <w:rPr>
                <w:sz w:val="24"/>
                <w:szCs w:val="24"/>
              </w:rPr>
            </w:pPr>
          </w:p>
        </w:tc>
      </w:tr>
    </w:tbl>
    <w:p w:rsidR="009C03ED" w:rsidRPr="00741288" w:rsidRDefault="009C03ED" w:rsidP="009C03ED">
      <w:pPr>
        <w:ind w:left="360"/>
        <w:rPr>
          <w:sz w:val="24"/>
          <w:szCs w:val="24"/>
        </w:rPr>
      </w:pPr>
      <w:r w:rsidRPr="00741288">
        <w:rPr>
          <w:sz w:val="24"/>
          <w:szCs w:val="24"/>
        </w:rPr>
        <w:t>*Night-time economy is “after-dark”, defined as between 6pm and 6am.</w:t>
      </w:r>
    </w:p>
    <w:p w:rsidR="000A1766" w:rsidRDefault="000A1766" w:rsidP="00174D45">
      <w:pPr>
        <w:jc w:val="both"/>
        <w:rPr>
          <w:i/>
        </w:rPr>
      </w:pPr>
    </w:p>
    <w:p w:rsidR="00B15D99" w:rsidRPr="003F2F93" w:rsidRDefault="00B15D99" w:rsidP="00B15D99">
      <w:r>
        <w:t xml:space="preserve">If your Pubwatch </w:t>
      </w:r>
      <w:r w:rsidR="0010305B">
        <w:t>s</w:t>
      </w:r>
      <w:r>
        <w:t>cheme achieves the</w:t>
      </w:r>
      <w:r w:rsidR="00493074">
        <w:t xml:space="preserve"> above </w:t>
      </w:r>
      <w:r>
        <w:t>objectives you will be able to say...</w:t>
      </w:r>
      <w:r>
        <w:rPr>
          <w:color w:val="333333"/>
          <w:szCs w:val="22"/>
        </w:rPr>
        <w:t xml:space="preserve"> </w:t>
      </w:r>
      <w:r w:rsidRPr="00776B99">
        <w:rPr>
          <w:b/>
          <w:color w:val="333333"/>
          <w:szCs w:val="22"/>
        </w:rPr>
        <w:t>“My Pubwatch Scheme works</w:t>
      </w:r>
      <w:r>
        <w:rPr>
          <w:b/>
          <w:color w:val="333333"/>
          <w:szCs w:val="22"/>
        </w:rPr>
        <w:t xml:space="preserve"> and here is the evidence to prove it.”</w:t>
      </w:r>
    </w:p>
    <w:p w:rsidR="006D0F67" w:rsidRPr="006D0F67" w:rsidRDefault="006D0F67" w:rsidP="006D0F67">
      <w:pPr>
        <w:pStyle w:val="Heading1"/>
      </w:pPr>
      <w:bookmarkStart w:id="8" w:name="_Toc488066627"/>
      <w:r>
        <w:t xml:space="preserve">3.0 </w:t>
      </w:r>
      <w:r w:rsidR="00493074" w:rsidRPr="006D0F67">
        <w:t>Why should you</w:t>
      </w:r>
      <w:r w:rsidR="009C03ED" w:rsidRPr="006D0F67">
        <w:t xml:space="preserve"> evaluate your</w:t>
      </w:r>
      <w:r w:rsidR="0010305B" w:rsidRPr="006D0F67">
        <w:t xml:space="preserve"> local Pubwatch s</w:t>
      </w:r>
      <w:r w:rsidR="009C03ED" w:rsidRPr="006D0F67">
        <w:t>cheme?</w:t>
      </w:r>
      <w:bookmarkEnd w:id="8"/>
    </w:p>
    <w:p w:rsidR="009C03ED" w:rsidRDefault="009C03ED" w:rsidP="009C03ED">
      <w:r>
        <w:t xml:space="preserve">Evaluating your local </w:t>
      </w:r>
      <w:r w:rsidR="00493074">
        <w:t>Pubwatch s</w:t>
      </w:r>
      <w:r>
        <w:t xml:space="preserve">cheme is important to ascertain if the objectives of </w:t>
      </w:r>
      <w:r w:rsidR="00493074">
        <w:t>the local Pubwatch s</w:t>
      </w:r>
      <w:r>
        <w:t>cheme are being achieved.  Additionally, the eval</w:t>
      </w:r>
      <w:r w:rsidR="00031532">
        <w:t>uation will enable the Pubwatch</w:t>
      </w:r>
      <w:r w:rsidR="003819D2">
        <w:t xml:space="preserve"> Committee</w:t>
      </w:r>
      <w:r>
        <w:t xml:space="preserve"> to:</w:t>
      </w:r>
    </w:p>
    <w:p w:rsidR="009C03ED" w:rsidRDefault="009C03ED" w:rsidP="009C03ED">
      <w:pPr>
        <w:numPr>
          <w:ilvl w:val="0"/>
          <w:numId w:val="20"/>
        </w:numPr>
      </w:pPr>
      <w:r>
        <w:t xml:space="preserve">Support the continuation of the local Pubwatch team </w:t>
      </w:r>
    </w:p>
    <w:p w:rsidR="009C03ED" w:rsidRDefault="009C03ED" w:rsidP="009C03ED">
      <w:pPr>
        <w:numPr>
          <w:ilvl w:val="0"/>
          <w:numId w:val="20"/>
        </w:numPr>
      </w:pPr>
      <w:r>
        <w:t>Improve the effectiveness/efficiency of the local Pubwatch scheme; based on lessons learn and feedback</w:t>
      </w:r>
    </w:p>
    <w:p w:rsidR="009C03ED" w:rsidRDefault="009C03ED" w:rsidP="009C03ED">
      <w:pPr>
        <w:numPr>
          <w:ilvl w:val="0"/>
          <w:numId w:val="20"/>
        </w:numPr>
      </w:pPr>
      <w:r>
        <w:t>Understand the positive impact of the local Pubwatch scheme on your local area</w:t>
      </w:r>
    </w:p>
    <w:p w:rsidR="009C03ED" w:rsidRDefault="009C03ED" w:rsidP="009C03ED">
      <w:pPr>
        <w:numPr>
          <w:ilvl w:val="0"/>
          <w:numId w:val="20"/>
        </w:numPr>
      </w:pPr>
      <w:r>
        <w:t>Assist in you</w:t>
      </w:r>
      <w:r w:rsidR="00756028">
        <w:t>r</w:t>
      </w:r>
      <w:r>
        <w:t xml:space="preserve"> communi</w:t>
      </w:r>
      <w:r w:rsidR="00756028">
        <w:t>cation with stakeholder</w:t>
      </w:r>
      <w:r w:rsidR="003819D2">
        <w:t>s</w:t>
      </w:r>
    </w:p>
    <w:p w:rsidR="00756028" w:rsidRDefault="00756028" w:rsidP="009C03ED">
      <w:pPr>
        <w:numPr>
          <w:ilvl w:val="0"/>
          <w:numId w:val="20"/>
        </w:numPr>
      </w:pPr>
      <w:r>
        <w:t>Share best practice with other local Pubwatch schemes</w:t>
      </w:r>
      <w:r w:rsidR="00493074">
        <w:t>;</w:t>
      </w:r>
      <w:r>
        <w:t xml:space="preserve"> locally and nationally</w:t>
      </w:r>
    </w:p>
    <w:p w:rsidR="00756028" w:rsidRDefault="003819D2" w:rsidP="009C03ED">
      <w:pPr>
        <w:numPr>
          <w:ilvl w:val="0"/>
          <w:numId w:val="20"/>
        </w:numPr>
      </w:pPr>
      <w:r>
        <w:lastRenderedPageBreak/>
        <w:t>Demonstrate good practice e.g. evidence to support an application to the National Pubwatch Awards*</w:t>
      </w:r>
    </w:p>
    <w:p w:rsidR="00756028" w:rsidRDefault="00756028" w:rsidP="00756028">
      <w:r>
        <w:t xml:space="preserve">*Click the link to visit the </w:t>
      </w:r>
      <w:r w:rsidR="00031532">
        <w:t>website of National Pubwatch</w:t>
      </w:r>
      <w:r>
        <w:t xml:space="preserve"> </w:t>
      </w:r>
      <w:hyperlink r:id="rId13" w:history="1">
        <w:r w:rsidRPr="00B27A7E">
          <w:rPr>
            <w:rStyle w:val="Hyperlink"/>
          </w:rPr>
          <w:t>http://www.nationalpubwatch.org.uk/</w:t>
        </w:r>
      </w:hyperlink>
      <w:r>
        <w:t xml:space="preserve">  </w:t>
      </w:r>
    </w:p>
    <w:p w:rsidR="006D0F67" w:rsidRPr="006D0F67" w:rsidRDefault="00756028" w:rsidP="006D0F67">
      <w:pPr>
        <w:pStyle w:val="Heading1"/>
      </w:pPr>
      <w:bookmarkStart w:id="9" w:name="_Toc488066628"/>
      <w:r>
        <w:t>4.</w:t>
      </w:r>
      <w:r w:rsidR="006D0F67">
        <w:t>0</w:t>
      </w:r>
      <w:r>
        <w:t xml:space="preserve"> What are the local Pubwatch Evaluation Toolkits?</w:t>
      </w:r>
      <w:bookmarkEnd w:id="9"/>
    </w:p>
    <w:p w:rsidR="00A34912" w:rsidRDefault="00A34912" w:rsidP="00756028">
      <w:r>
        <w:t>The local Pubwatch Evaluation Toolkit has been designed to measure the effectiveness of your scheme.  The toolkit provides an evaluations fr</w:t>
      </w:r>
      <w:r w:rsidR="0010305B">
        <w:t>amework, guidance on best practice</w:t>
      </w:r>
      <w:r>
        <w:t xml:space="preserve"> regarding data col</w:t>
      </w:r>
      <w:r w:rsidR="0010305B">
        <w:t>lection for baseline</w:t>
      </w:r>
      <w:r>
        <w:t xml:space="preserve"> measurement and </w:t>
      </w:r>
      <w:r w:rsidR="00501F52">
        <w:t>Year-On-Year</w:t>
      </w:r>
      <w:r w:rsidR="00282578">
        <w:t xml:space="preserve"> </w:t>
      </w:r>
      <w:r>
        <w:t xml:space="preserve">data collection.  The data collected </w:t>
      </w:r>
      <w:r w:rsidR="0010305B">
        <w:t>will</w:t>
      </w:r>
      <w:r>
        <w:t xml:space="preserve"> be a combination of crime and disorder police d</w:t>
      </w:r>
      <w:r w:rsidR="0010305B">
        <w:t>at</w:t>
      </w:r>
      <w:r>
        <w:t>a, licensee surveys and qualitative discussion</w:t>
      </w:r>
      <w:r w:rsidR="0010305B">
        <w:t>s</w:t>
      </w:r>
      <w:r>
        <w:t xml:space="preserve"> with both licensees and key stakeholders. </w:t>
      </w:r>
    </w:p>
    <w:p w:rsidR="00A34912" w:rsidRDefault="00A34912" w:rsidP="00756028"/>
    <w:p w:rsidR="00A34912" w:rsidRDefault="00A34912" w:rsidP="00756028">
      <w:r>
        <w:t>The toolkit has been developed in partnership with Leeds Beckett University and contains two parts:</w:t>
      </w:r>
    </w:p>
    <w:p w:rsidR="0010305B" w:rsidRDefault="0010305B" w:rsidP="00756028"/>
    <w:p w:rsidR="00A34912" w:rsidRDefault="00A34912" w:rsidP="00A34912">
      <w:pPr>
        <w:numPr>
          <w:ilvl w:val="0"/>
          <w:numId w:val="21"/>
        </w:numPr>
      </w:pPr>
      <w:r>
        <w:t>Appendix 1: Baseline Evaluation Toolkit</w:t>
      </w:r>
    </w:p>
    <w:p w:rsidR="00B15D99" w:rsidRDefault="00A34912" w:rsidP="00B15D99">
      <w:pPr>
        <w:numPr>
          <w:ilvl w:val="0"/>
          <w:numId w:val="21"/>
        </w:numPr>
      </w:pPr>
      <w:r>
        <w:t xml:space="preserve">Appendix 2: </w:t>
      </w:r>
      <w:r w:rsidR="00501F52">
        <w:t xml:space="preserve">Year-On-Year </w:t>
      </w:r>
      <w:r>
        <w:t xml:space="preserve">Evaluation Toolkit </w:t>
      </w:r>
    </w:p>
    <w:p w:rsidR="006D0F67" w:rsidRPr="0010305B" w:rsidRDefault="006D0F67" w:rsidP="00B15D99">
      <w:pPr>
        <w:numPr>
          <w:ilvl w:val="0"/>
          <w:numId w:val="21"/>
        </w:numPr>
      </w:pPr>
      <w:r>
        <w:t>Appendix 2: Report Findings</w:t>
      </w:r>
    </w:p>
    <w:p w:rsidR="00125196" w:rsidRPr="00781E4B" w:rsidRDefault="00133E33" w:rsidP="00133E33">
      <w:pPr>
        <w:pStyle w:val="Heading1"/>
      </w:pPr>
      <w:bookmarkStart w:id="10" w:name="_Toc463882333"/>
      <w:bookmarkStart w:id="11" w:name="_Toc488066629"/>
      <w:r>
        <w:t>5.</w:t>
      </w:r>
      <w:r w:rsidR="006D0F67">
        <w:t>0</w:t>
      </w:r>
      <w:r w:rsidR="00BE2946">
        <w:t xml:space="preserve"> </w:t>
      </w:r>
      <w:r w:rsidR="00D02F81">
        <w:t>What does the E</w:t>
      </w:r>
      <w:r w:rsidR="00125196" w:rsidRPr="007911DE">
        <w:t xml:space="preserve">valuation </w:t>
      </w:r>
      <w:r w:rsidR="00D02F81">
        <w:t>T</w:t>
      </w:r>
      <w:r w:rsidR="00125196" w:rsidRPr="007911DE">
        <w:t>oolkit involve?</w:t>
      </w:r>
      <w:bookmarkEnd w:id="10"/>
      <w:bookmarkEnd w:id="11"/>
      <w:r w:rsidR="00125196" w:rsidRPr="007911DE">
        <w:t xml:space="preserve"> </w:t>
      </w:r>
    </w:p>
    <w:tbl>
      <w:tblPr>
        <w:tblW w:w="932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101"/>
        <w:gridCol w:w="3543"/>
        <w:gridCol w:w="1205"/>
        <w:gridCol w:w="1205"/>
        <w:gridCol w:w="1134"/>
        <w:gridCol w:w="1134"/>
      </w:tblGrid>
      <w:tr w:rsidR="00D02F81" w:rsidRPr="003C5581" w:rsidTr="008A3037">
        <w:trPr>
          <w:trHeight w:val="800"/>
        </w:trPr>
        <w:tc>
          <w:tcPr>
            <w:tcW w:w="1101" w:type="dxa"/>
            <w:shd w:val="clear" w:color="auto" w:fill="DBE5F1" w:themeFill="accent1" w:themeFillTint="33"/>
          </w:tcPr>
          <w:p w:rsidR="00125196" w:rsidRPr="00125196" w:rsidRDefault="00125196" w:rsidP="008525FA">
            <w:pPr>
              <w:rPr>
                <w:rFonts w:eastAsiaTheme="majorEastAsia" w:cstheme="majorBidi"/>
                <w:b/>
                <w:color w:val="000000" w:themeColor="text1"/>
                <w:sz w:val="18"/>
                <w:szCs w:val="18"/>
              </w:rPr>
            </w:pPr>
          </w:p>
        </w:tc>
        <w:tc>
          <w:tcPr>
            <w:tcW w:w="3543" w:type="dxa"/>
            <w:shd w:val="clear" w:color="auto" w:fill="DBE5F1" w:themeFill="accent1" w:themeFillTint="33"/>
          </w:tcPr>
          <w:p w:rsidR="0010305B" w:rsidRPr="008A3037" w:rsidRDefault="0010305B" w:rsidP="008525FA">
            <w:pPr>
              <w:rPr>
                <w:b/>
                <w:color w:val="000000" w:themeColor="text1"/>
                <w:sz w:val="20"/>
                <w:szCs w:val="20"/>
              </w:rPr>
            </w:pPr>
          </w:p>
          <w:p w:rsidR="0010305B" w:rsidRPr="008A3037" w:rsidRDefault="0010305B" w:rsidP="008525FA">
            <w:pPr>
              <w:rPr>
                <w:b/>
                <w:color w:val="000000" w:themeColor="text1"/>
                <w:sz w:val="20"/>
                <w:szCs w:val="20"/>
              </w:rPr>
            </w:pPr>
          </w:p>
          <w:p w:rsidR="00125196" w:rsidRPr="008A3037" w:rsidRDefault="008A3037" w:rsidP="008525FA">
            <w:pPr>
              <w:rPr>
                <w:b/>
                <w:color w:val="000000" w:themeColor="text1"/>
                <w:szCs w:val="22"/>
              </w:rPr>
            </w:pPr>
            <w:r>
              <w:rPr>
                <w:b/>
                <w:color w:val="000000" w:themeColor="text1"/>
                <w:szCs w:val="22"/>
              </w:rPr>
              <w:t>Purpose</w:t>
            </w:r>
          </w:p>
        </w:tc>
        <w:tc>
          <w:tcPr>
            <w:tcW w:w="1205" w:type="dxa"/>
            <w:shd w:val="clear" w:color="auto" w:fill="DBE5F1" w:themeFill="accent1" w:themeFillTint="33"/>
          </w:tcPr>
          <w:p w:rsidR="00125196" w:rsidRPr="008A3037" w:rsidRDefault="00D02F81" w:rsidP="008525FA">
            <w:pPr>
              <w:rPr>
                <w:b/>
                <w:color w:val="000000" w:themeColor="text1"/>
                <w:szCs w:val="22"/>
              </w:rPr>
            </w:pPr>
            <w:r w:rsidRPr="008A3037">
              <w:rPr>
                <w:b/>
                <w:color w:val="000000" w:themeColor="text1"/>
                <w:szCs w:val="22"/>
              </w:rPr>
              <w:t>Discussion with Licensees</w:t>
            </w:r>
          </w:p>
        </w:tc>
        <w:tc>
          <w:tcPr>
            <w:tcW w:w="1205" w:type="dxa"/>
            <w:shd w:val="clear" w:color="auto" w:fill="DBE5F1" w:themeFill="accent1" w:themeFillTint="33"/>
          </w:tcPr>
          <w:p w:rsidR="00125196" w:rsidRPr="008A3037" w:rsidRDefault="00D02F81" w:rsidP="00D02F81">
            <w:pPr>
              <w:rPr>
                <w:b/>
                <w:color w:val="000000" w:themeColor="text1"/>
                <w:szCs w:val="22"/>
              </w:rPr>
            </w:pPr>
            <w:r w:rsidRPr="008A3037">
              <w:rPr>
                <w:b/>
                <w:color w:val="000000" w:themeColor="text1"/>
                <w:szCs w:val="22"/>
              </w:rPr>
              <w:t>Discussion</w:t>
            </w:r>
            <w:r w:rsidR="00125196" w:rsidRPr="008A3037">
              <w:rPr>
                <w:b/>
                <w:color w:val="000000" w:themeColor="text1"/>
                <w:szCs w:val="22"/>
              </w:rPr>
              <w:t xml:space="preserve"> with </w:t>
            </w:r>
            <w:r w:rsidR="0010305B" w:rsidRPr="008A3037">
              <w:rPr>
                <w:b/>
                <w:color w:val="000000" w:themeColor="text1"/>
                <w:szCs w:val="22"/>
              </w:rPr>
              <w:t>Stake</w:t>
            </w:r>
            <w:r w:rsidR="008A3037" w:rsidRPr="008A3037">
              <w:rPr>
                <w:b/>
                <w:color w:val="000000" w:themeColor="text1"/>
                <w:szCs w:val="22"/>
              </w:rPr>
              <w:t>-</w:t>
            </w:r>
            <w:r w:rsidR="0010305B" w:rsidRPr="008A3037">
              <w:rPr>
                <w:b/>
                <w:color w:val="000000" w:themeColor="text1"/>
                <w:szCs w:val="22"/>
              </w:rPr>
              <w:t>holders</w:t>
            </w:r>
          </w:p>
        </w:tc>
        <w:tc>
          <w:tcPr>
            <w:tcW w:w="1134" w:type="dxa"/>
            <w:shd w:val="clear" w:color="auto" w:fill="DBE5F1" w:themeFill="accent1" w:themeFillTint="33"/>
          </w:tcPr>
          <w:p w:rsidR="00125196" w:rsidRPr="008A3037" w:rsidRDefault="00D02F81" w:rsidP="008525FA">
            <w:pPr>
              <w:rPr>
                <w:b/>
                <w:color w:val="000000" w:themeColor="text1"/>
                <w:szCs w:val="22"/>
              </w:rPr>
            </w:pPr>
            <w:r w:rsidRPr="008A3037">
              <w:rPr>
                <w:b/>
                <w:color w:val="000000" w:themeColor="text1"/>
                <w:szCs w:val="22"/>
              </w:rPr>
              <w:t>On-line Licensee survey</w:t>
            </w:r>
          </w:p>
        </w:tc>
        <w:tc>
          <w:tcPr>
            <w:tcW w:w="1134" w:type="dxa"/>
            <w:shd w:val="clear" w:color="auto" w:fill="DBE5F1" w:themeFill="accent1" w:themeFillTint="33"/>
          </w:tcPr>
          <w:p w:rsidR="00125196" w:rsidRPr="008A3037" w:rsidRDefault="00125196" w:rsidP="008525FA">
            <w:pPr>
              <w:rPr>
                <w:b/>
                <w:color w:val="000000" w:themeColor="text1"/>
                <w:szCs w:val="22"/>
              </w:rPr>
            </w:pPr>
            <w:r w:rsidRPr="008A3037">
              <w:rPr>
                <w:b/>
                <w:color w:val="000000" w:themeColor="text1"/>
                <w:szCs w:val="22"/>
              </w:rPr>
              <w:t>Police Data</w:t>
            </w:r>
          </w:p>
        </w:tc>
      </w:tr>
      <w:tr w:rsidR="00D02F81" w:rsidRPr="003C5581" w:rsidTr="008A3037">
        <w:trPr>
          <w:trHeight w:val="1163"/>
        </w:trPr>
        <w:tc>
          <w:tcPr>
            <w:tcW w:w="1101" w:type="dxa"/>
            <w:shd w:val="clear" w:color="auto" w:fill="DBE5F1" w:themeFill="accent1" w:themeFillTint="33"/>
          </w:tcPr>
          <w:p w:rsidR="00125196" w:rsidRPr="00D02F81" w:rsidRDefault="00125196" w:rsidP="008525FA">
            <w:pPr>
              <w:rPr>
                <w:rFonts w:eastAsiaTheme="majorEastAsia" w:cstheme="majorBidi"/>
                <w:b/>
                <w:color w:val="000000" w:themeColor="text1"/>
                <w:sz w:val="20"/>
                <w:szCs w:val="20"/>
              </w:rPr>
            </w:pPr>
            <w:r w:rsidRPr="00D02F81">
              <w:rPr>
                <w:b/>
                <w:color w:val="000000" w:themeColor="text1"/>
                <w:sz w:val="20"/>
                <w:szCs w:val="20"/>
              </w:rPr>
              <w:t>Baseline Evaluation</w:t>
            </w:r>
          </w:p>
        </w:tc>
        <w:tc>
          <w:tcPr>
            <w:tcW w:w="3543" w:type="dxa"/>
            <w:shd w:val="clear" w:color="auto" w:fill="DBE5F1" w:themeFill="accent1" w:themeFillTint="33"/>
          </w:tcPr>
          <w:p w:rsidR="00125196" w:rsidRPr="00E60AD4" w:rsidRDefault="00125196" w:rsidP="0010305B">
            <w:pPr>
              <w:rPr>
                <w:sz w:val="20"/>
                <w:szCs w:val="20"/>
              </w:rPr>
            </w:pPr>
            <w:r w:rsidRPr="00E60AD4">
              <w:rPr>
                <w:sz w:val="20"/>
                <w:szCs w:val="20"/>
              </w:rPr>
              <w:t xml:space="preserve">The Baseline Evaluation Toolkit provides an information base against which to monitor and assess the </w:t>
            </w:r>
            <w:r w:rsidR="0010305B" w:rsidRPr="00E60AD4">
              <w:rPr>
                <w:sz w:val="20"/>
                <w:szCs w:val="20"/>
              </w:rPr>
              <w:t xml:space="preserve">progress of your local Pubwatch </w:t>
            </w:r>
            <w:r w:rsidRPr="00E60AD4">
              <w:rPr>
                <w:sz w:val="20"/>
                <w:szCs w:val="20"/>
              </w:rPr>
              <w:t>s</w:t>
            </w:r>
            <w:r w:rsidR="0010305B" w:rsidRPr="00E60AD4">
              <w:rPr>
                <w:sz w:val="20"/>
                <w:szCs w:val="20"/>
              </w:rPr>
              <w:t>cheme</w:t>
            </w:r>
            <w:r w:rsidRPr="00E60AD4">
              <w:rPr>
                <w:sz w:val="20"/>
                <w:szCs w:val="20"/>
              </w:rPr>
              <w:t>,</w:t>
            </w:r>
            <w:r w:rsidR="0010305B" w:rsidRPr="00E60AD4">
              <w:rPr>
                <w:sz w:val="20"/>
                <w:szCs w:val="20"/>
              </w:rPr>
              <w:t xml:space="preserve"> its</w:t>
            </w:r>
            <w:r w:rsidRPr="00E60AD4">
              <w:rPr>
                <w:sz w:val="20"/>
                <w:szCs w:val="20"/>
              </w:rPr>
              <w:t xml:space="preserve"> effectiveness and impact</w:t>
            </w:r>
          </w:p>
        </w:tc>
        <w:tc>
          <w:tcPr>
            <w:tcW w:w="1205" w:type="dxa"/>
            <w:shd w:val="clear" w:color="auto" w:fill="DBE5F1" w:themeFill="accent1" w:themeFillTint="33"/>
            <w:vAlign w:val="center"/>
          </w:tcPr>
          <w:p w:rsidR="00125196" w:rsidRPr="00E60AD4" w:rsidRDefault="00125196" w:rsidP="00125196">
            <w:pPr>
              <w:jc w:val="center"/>
              <w:rPr>
                <w:rFonts w:eastAsiaTheme="majorEastAsia" w:cstheme="majorBidi"/>
                <w:b/>
                <w:color w:val="auto"/>
                <w:sz w:val="20"/>
                <w:szCs w:val="20"/>
              </w:rPr>
            </w:pPr>
            <w:r w:rsidRPr="00E60AD4">
              <w:rPr>
                <w:rFonts w:eastAsiaTheme="majorEastAsia" w:cstheme="majorBidi"/>
                <w:b/>
                <w:color w:val="auto"/>
                <w:sz w:val="20"/>
                <w:szCs w:val="20"/>
              </w:rPr>
              <w:t>Yes</w:t>
            </w:r>
          </w:p>
        </w:tc>
        <w:tc>
          <w:tcPr>
            <w:tcW w:w="1205" w:type="dxa"/>
            <w:shd w:val="clear" w:color="auto" w:fill="DBE5F1" w:themeFill="accent1" w:themeFillTint="33"/>
            <w:vAlign w:val="center"/>
          </w:tcPr>
          <w:p w:rsidR="00125196" w:rsidRPr="00E60AD4" w:rsidRDefault="00501F52" w:rsidP="00125196">
            <w:pPr>
              <w:jc w:val="center"/>
              <w:rPr>
                <w:rFonts w:eastAsiaTheme="majorEastAsia" w:cstheme="majorBidi"/>
                <w:b/>
                <w:color w:val="auto"/>
                <w:sz w:val="20"/>
                <w:szCs w:val="20"/>
              </w:rPr>
            </w:pPr>
            <w:r w:rsidRPr="00E60AD4">
              <w:rPr>
                <w:rFonts w:eastAsiaTheme="majorEastAsia" w:cstheme="majorBidi"/>
                <w:b/>
                <w:color w:val="auto"/>
                <w:sz w:val="20"/>
                <w:szCs w:val="20"/>
              </w:rPr>
              <w:t>Yes</w:t>
            </w:r>
          </w:p>
        </w:tc>
        <w:tc>
          <w:tcPr>
            <w:tcW w:w="1134" w:type="dxa"/>
            <w:shd w:val="clear" w:color="auto" w:fill="DBE5F1" w:themeFill="accent1" w:themeFillTint="33"/>
            <w:vAlign w:val="center"/>
          </w:tcPr>
          <w:p w:rsidR="00125196" w:rsidRPr="00E60AD4" w:rsidRDefault="0010305B" w:rsidP="00125196">
            <w:pPr>
              <w:jc w:val="center"/>
              <w:rPr>
                <w:rFonts w:eastAsiaTheme="majorEastAsia" w:cstheme="majorBidi"/>
                <w:b/>
                <w:color w:val="auto"/>
                <w:sz w:val="20"/>
                <w:szCs w:val="20"/>
              </w:rPr>
            </w:pPr>
            <w:r w:rsidRPr="00E60AD4">
              <w:rPr>
                <w:rFonts w:eastAsiaTheme="majorEastAsia" w:cstheme="majorBidi"/>
                <w:b/>
                <w:color w:val="auto"/>
                <w:sz w:val="20"/>
                <w:szCs w:val="20"/>
              </w:rPr>
              <w:t>Yes</w:t>
            </w:r>
          </w:p>
        </w:tc>
        <w:tc>
          <w:tcPr>
            <w:tcW w:w="1134" w:type="dxa"/>
            <w:shd w:val="clear" w:color="auto" w:fill="DBE5F1" w:themeFill="accent1" w:themeFillTint="33"/>
            <w:vAlign w:val="center"/>
          </w:tcPr>
          <w:p w:rsidR="00125196" w:rsidRPr="00E60AD4" w:rsidRDefault="00125196" w:rsidP="00125196">
            <w:pPr>
              <w:jc w:val="center"/>
              <w:rPr>
                <w:rFonts w:eastAsiaTheme="majorEastAsia" w:cstheme="majorBidi"/>
                <w:b/>
                <w:color w:val="auto"/>
                <w:sz w:val="20"/>
                <w:szCs w:val="20"/>
              </w:rPr>
            </w:pPr>
            <w:r w:rsidRPr="00E60AD4">
              <w:rPr>
                <w:rFonts w:eastAsiaTheme="majorEastAsia" w:cstheme="majorBidi"/>
                <w:b/>
                <w:color w:val="auto"/>
                <w:sz w:val="20"/>
                <w:szCs w:val="20"/>
              </w:rPr>
              <w:t>Yes</w:t>
            </w:r>
          </w:p>
        </w:tc>
      </w:tr>
      <w:tr w:rsidR="00D02F81" w:rsidRPr="003C5581" w:rsidTr="008A3037">
        <w:trPr>
          <w:trHeight w:val="808"/>
        </w:trPr>
        <w:tc>
          <w:tcPr>
            <w:tcW w:w="1101" w:type="dxa"/>
            <w:shd w:val="clear" w:color="auto" w:fill="DBE5F1" w:themeFill="accent1" w:themeFillTint="33"/>
          </w:tcPr>
          <w:p w:rsidR="00125196" w:rsidRPr="00D02F81" w:rsidRDefault="00501F52" w:rsidP="008525FA">
            <w:pPr>
              <w:rPr>
                <w:b/>
                <w:color w:val="000000" w:themeColor="text1"/>
                <w:sz w:val="20"/>
                <w:szCs w:val="20"/>
              </w:rPr>
            </w:pPr>
            <w:r w:rsidRPr="00D02F81">
              <w:rPr>
                <w:b/>
                <w:color w:val="000000" w:themeColor="text1"/>
                <w:sz w:val="20"/>
                <w:szCs w:val="20"/>
              </w:rPr>
              <w:t>Year-On-Year</w:t>
            </w:r>
            <w:r w:rsidR="00282578" w:rsidRPr="00D02F81">
              <w:rPr>
                <w:b/>
                <w:color w:val="000000" w:themeColor="text1"/>
                <w:sz w:val="20"/>
                <w:szCs w:val="20"/>
              </w:rPr>
              <w:t xml:space="preserve"> </w:t>
            </w:r>
            <w:r w:rsidR="00125196" w:rsidRPr="00D02F81">
              <w:rPr>
                <w:b/>
                <w:color w:val="000000" w:themeColor="text1"/>
                <w:sz w:val="20"/>
                <w:szCs w:val="20"/>
              </w:rPr>
              <w:t>Evaluation</w:t>
            </w:r>
          </w:p>
        </w:tc>
        <w:tc>
          <w:tcPr>
            <w:tcW w:w="3543" w:type="dxa"/>
            <w:shd w:val="clear" w:color="auto" w:fill="DBE5F1" w:themeFill="accent1" w:themeFillTint="33"/>
          </w:tcPr>
          <w:p w:rsidR="00125196" w:rsidRPr="00E60AD4" w:rsidRDefault="00125196" w:rsidP="0010305B">
            <w:pPr>
              <w:rPr>
                <w:sz w:val="20"/>
                <w:szCs w:val="20"/>
              </w:rPr>
            </w:pPr>
            <w:r w:rsidRPr="00E60AD4">
              <w:rPr>
                <w:sz w:val="20"/>
                <w:szCs w:val="20"/>
              </w:rPr>
              <w:t xml:space="preserve">Following the Baseline Evaluation the </w:t>
            </w:r>
            <w:r w:rsidR="00501F52" w:rsidRPr="00E60AD4">
              <w:rPr>
                <w:sz w:val="20"/>
                <w:szCs w:val="20"/>
              </w:rPr>
              <w:t>Year-On-Year</w:t>
            </w:r>
            <w:r w:rsidR="00282578" w:rsidRPr="00E60AD4">
              <w:rPr>
                <w:sz w:val="20"/>
                <w:szCs w:val="20"/>
              </w:rPr>
              <w:t xml:space="preserve"> </w:t>
            </w:r>
            <w:r w:rsidRPr="00E60AD4">
              <w:rPr>
                <w:sz w:val="20"/>
                <w:szCs w:val="20"/>
              </w:rPr>
              <w:t>Evaluations are recommende</w:t>
            </w:r>
            <w:r w:rsidR="0010305B" w:rsidRPr="00E60AD4">
              <w:rPr>
                <w:sz w:val="20"/>
                <w:szCs w:val="20"/>
              </w:rPr>
              <w:t>d to ascertain how your local Pubwatch scheme</w:t>
            </w:r>
            <w:r w:rsidRPr="00E60AD4">
              <w:rPr>
                <w:sz w:val="20"/>
                <w:szCs w:val="20"/>
              </w:rPr>
              <w:t xml:space="preserve"> has contributed to improvements/changes to reducing crime and disorder and supporting local economic growth</w:t>
            </w:r>
            <w:r w:rsidR="0010305B" w:rsidRPr="00E60AD4">
              <w:rPr>
                <w:sz w:val="20"/>
                <w:szCs w:val="20"/>
              </w:rPr>
              <w:t xml:space="preserve"> and continuous progress of your Pubwatch scheme on an ongoing basis </w:t>
            </w:r>
          </w:p>
        </w:tc>
        <w:tc>
          <w:tcPr>
            <w:tcW w:w="1205" w:type="dxa"/>
            <w:shd w:val="clear" w:color="auto" w:fill="DBE5F1" w:themeFill="accent1" w:themeFillTint="33"/>
            <w:vAlign w:val="center"/>
          </w:tcPr>
          <w:p w:rsidR="00125196" w:rsidRPr="00E60AD4" w:rsidRDefault="00125196" w:rsidP="00125196">
            <w:pPr>
              <w:jc w:val="center"/>
              <w:rPr>
                <w:rFonts w:eastAsiaTheme="majorEastAsia" w:cstheme="majorBidi"/>
                <w:b/>
                <w:color w:val="auto"/>
                <w:sz w:val="20"/>
                <w:szCs w:val="20"/>
              </w:rPr>
            </w:pPr>
            <w:r w:rsidRPr="00E60AD4">
              <w:rPr>
                <w:rFonts w:eastAsiaTheme="majorEastAsia" w:cstheme="majorBidi"/>
                <w:b/>
                <w:color w:val="auto"/>
                <w:sz w:val="20"/>
                <w:szCs w:val="20"/>
              </w:rPr>
              <w:t>Yes</w:t>
            </w:r>
          </w:p>
        </w:tc>
        <w:tc>
          <w:tcPr>
            <w:tcW w:w="1205" w:type="dxa"/>
            <w:shd w:val="clear" w:color="auto" w:fill="DBE5F1" w:themeFill="accent1" w:themeFillTint="33"/>
            <w:vAlign w:val="center"/>
          </w:tcPr>
          <w:p w:rsidR="00125196" w:rsidRPr="00E60AD4" w:rsidRDefault="00125196" w:rsidP="00125196">
            <w:pPr>
              <w:jc w:val="center"/>
              <w:rPr>
                <w:rFonts w:eastAsiaTheme="majorEastAsia" w:cstheme="majorBidi"/>
                <w:b/>
                <w:color w:val="auto"/>
                <w:sz w:val="20"/>
                <w:szCs w:val="20"/>
              </w:rPr>
            </w:pPr>
            <w:r w:rsidRPr="00E60AD4">
              <w:rPr>
                <w:rFonts w:eastAsiaTheme="majorEastAsia" w:cstheme="majorBidi"/>
                <w:b/>
                <w:color w:val="auto"/>
                <w:sz w:val="20"/>
                <w:szCs w:val="20"/>
              </w:rPr>
              <w:t>Yes</w:t>
            </w:r>
          </w:p>
        </w:tc>
        <w:tc>
          <w:tcPr>
            <w:tcW w:w="1134" w:type="dxa"/>
            <w:shd w:val="clear" w:color="auto" w:fill="DBE5F1" w:themeFill="accent1" w:themeFillTint="33"/>
            <w:vAlign w:val="center"/>
          </w:tcPr>
          <w:p w:rsidR="00125196" w:rsidRPr="00E60AD4" w:rsidRDefault="0010305B" w:rsidP="00125196">
            <w:pPr>
              <w:jc w:val="center"/>
              <w:rPr>
                <w:rFonts w:eastAsiaTheme="majorEastAsia" w:cstheme="majorBidi"/>
                <w:b/>
                <w:color w:val="auto"/>
                <w:sz w:val="20"/>
                <w:szCs w:val="20"/>
              </w:rPr>
            </w:pPr>
            <w:r w:rsidRPr="00E60AD4">
              <w:rPr>
                <w:rFonts w:eastAsiaTheme="majorEastAsia" w:cstheme="majorBidi"/>
                <w:b/>
                <w:color w:val="auto"/>
                <w:sz w:val="20"/>
                <w:szCs w:val="20"/>
              </w:rPr>
              <w:t>Yes</w:t>
            </w:r>
          </w:p>
        </w:tc>
        <w:tc>
          <w:tcPr>
            <w:tcW w:w="1134" w:type="dxa"/>
            <w:shd w:val="clear" w:color="auto" w:fill="DBE5F1" w:themeFill="accent1" w:themeFillTint="33"/>
            <w:vAlign w:val="center"/>
          </w:tcPr>
          <w:p w:rsidR="00125196" w:rsidRPr="00E60AD4" w:rsidRDefault="00125196" w:rsidP="00125196">
            <w:pPr>
              <w:jc w:val="center"/>
              <w:rPr>
                <w:rFonts w:eastAsiaTheme="majorEastAsia" w:cstheme="majorBidi"/>
                <w:b/>
                <w:color w:val="auto"/>
                <w:sz w:val="20"/>
                <w:szCs w:val="20"/>
              </w:rPr>
            </w:pPr>
            <w:r w:rsidRPr="00E60AD4">
              <w:rPr>
                <w:rFonts w:eastAsiaTheme="majorEastAsia" w:cstheme="majorBidi"/>
                <w:b/>
                <w:color w:val="auto"/>
                <w:sz w:val="20"/>
                <w:szCs w:val="20"/>
              </w:rPr>
              <w:t>Yes</w:t>
            </w:r>
          </w:p>
        </w:tc>
      </w:tr>
    </w:tbl>
    <w:p w:rsidR="006D0F67" w:rsidRDefault="006D0F67" w:rsidP="00133E33">
      <w:pPr>
        <w:pStyle w:val="Heading1"/>
      </w:pPr>
      <w:bookmarkStart w:id="12" w:name="_Toc463882334"/>
    </w:p>
    <w:p w:rsidR="006D0F67" w:rsidRDefault="006D0F67">
      <w:pPr>
        <w:rPr>
          <w:rFonts w:ascii="Cambria" w:eastAsia="Times New Roman" w:hAnsi="Cambria"/>
          <w:b/>
          <w:bCs/>
          <w:color w:val="365F91"/>
          <w:sz w:val="28"/>
          <w:szCs w:val="28"/>
        </w:rPr>
      </w:pPr>
      <w:r>
        <w:br w:type="page"/>
      </w:r>
    </w:p>
    <w:p w:rsidR="00125196" w:rsidRDefault="00133E33" w:rsidP="00133E33">
      <w:pPr>
        <w:pStyle w:val="Heading1"/>
      </w:pPr>
      <w:bookmarkStart w:id="13" w:name="_Toc488066630"/>
      <w:r>
        <w:lastRenderedPageBreak/>
        <w:t>6.</w:t>
      </w:r>
      <w:r w:rsidR="006D0F67">
        <w:t>0</w:t>
      </w:r>
      <w:r w:rsidR="00BE2946">
        <w:t xml:space="preserve"> </w:t>
      </w:r>
      <w:r w:rsidR="00125196" w:rsidRPr="007911DE">
        <w:t>What</w:t>
      </w:r>
      <w:r w:rsidR="00B40055">
        <w:t xml:space="preserve"> are the key steps involved in e</w:t>
      </w:r>
      <w:r w:rsidR="00125196" w:rsidRPr="007911DE">
        <w:t>valuation?</w:t>
      </w:r>
      <w:bookmarkEnd w:id="12"/>
      <w:bookmarkEnd w:id="13"/>
    </w:p>
    <w:p w:rsidR="006D0F67" w:rsidRPr="006D0F67" w:rsidRDefault="006D0F67" w:rsidP="006D0F67"/>
    <w:tbl>
      <w:tblPr>
        <w:tblW w:w="5048"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959"/>
        <w:gridCol w:w="6237"/>
        <w:gridCol w:w="2135"/>
      </w:tblGrid>
      <w:tr w:rsidR="00125196" w:rsidRPr="003E594B" w:rsidTr="00125196">
        <w:trPr>
          <w:trHeight w:val="638"/>
        </w:trPr>
        <w:tc>
          <w:tcPr>
            <w:tcW w:w="514" w:type="pct"/>
            <w:shd w:val="clear" w:color="auto" w:fill="DBE5F1" w:themeFill="accent1" w:themeFillTint="33"/>
            <w:hideMark/>
          </w:tcPr>
          <w:p w:rsidR="00125196" w:rsidRPr="00133E33" w:rsidRDefault="00125196" w:rsidP="00133E33">
            <w:pPr>
              <w:keepNext/>
              <w:keepLines/>
              <w:rPr>
                <w:b/>
                <w:color w:val="000000" w:themeColor="text1"/>
                <w:szCs w:val="22"/>
              </w:rPr>
            </w:pPr>
            <w:r w:rsidRPr="00133E33">
              <w:rPr>
                <w:b/>
                <w:color w:val="000000" w:themeColor="text1"/>
                <w:szCs w:val="22"/>
              </w:rPr>
              <w:t>Key Steps</w:t>
            </w:r>
          </w:p>
        </w:tc>
        <w:tc>
          <w:tcPr>
            <w:tcW w:w="3342" w:type="pct"/>
            <w:shd w:val="clear" w:color="auto" w:fill="DBE5F1" w:themeFill="accent1" w:themeFillTint="33"/>
            <w:hideMark/>
          </w:tcPr>
          <w:p w:rsidR="00125196" w:rsidRPr="00133E33" w:rsidRDefault="00125196" w:rsidP="00125196">
            <w:pPr>
              <w:keepNext/>
              <w:keepLines/>
              <w:jc w:val="center"/>
              <w:rPr>
                <w:b/>
                <w:color w:val="000000" w:themeColor="text1"/>
                <w:szCs w:val="22"/>
              </w:rPr>
            </w:pPr>
            <w:r w:rsidRPr="00133E33">
              <w:rPr>
                <w:b/>
                <w:color w:val="000000" w:themeColor="text1"/>
                <w:szCs w:val="22"/>
              </w:rPr>
              <w:t>Task</w:t>
            </w:r>
          </w:p>
        </w:tc>
        <w:tc>
          <w:tcPr>
            <w:tcW w:w="1144" w:type="pct"/>
            <w:shd w:val="clear" w:color="auto" w:fill="DBE5F1" w:themeFill="accent1" w:themeFillTint="33"/>
          </w:tcPr>
          <w:p w:rsidR="00125196" w:rsidRPr="00133E33" w:rsidRDefault="00125196" w:rsidP="00125196">
            <w:pPr>
              <w:keepNext/>
              <w:keepLines/>
              <w:jc w:val="center"/>
              <w:rPr>
                <w:b/>
                <w:color w:val="000000" w:themeColor="text1"/>
                <w:szCs w:val="22"/>
              </w:rPr>
            </w:pPr>
            <w:r w:rsidRPr="00133E33">
              <w:rPr>
                <w:b/>
                <w:color w:val="000000" w:themeColor="text1"/>
                <w:szCs w:val="22"/>
              </w:rPr>
              <w:t>Toolkit</w:t>
            </w:r>
          </w:p>
        </w:tc>
      </w:tr>
      <w:tr w:rsidR="00125196" w:rsidRPr="003E594B" w:rsidTr="00133E33">
        <w:trPr>
          <w:trHeight w:val="64"/>
        </w:trPr>
        <w:tc>
          <w:tcPr>
            <w:tcW w:w="514" w:type="pct"/>
            <w:shd w:val="clear" w:color="auto" w:fill="DBE5F1" w:themeFill="accent1" w:themeFillTint="33"/>
            <w:hideMark/>
          </w:tcPr>
          <w:p w:rsidR="00125196" w:rsidRPr="00BE2946" w:rsidRDefault="00125196" w:rsidP="00133E33">
            <w:pPr>
              <w:rPr>
                <w:color w:val="000000" w:themeColor="text1"/>
              </w:rPr>
            </w:pPr>
            <w:r w:rsidRPr="00BE2946">
              <w:rPr>
                <w:color w:val="000000" w:themeColor="text1"/>
              </w:rPr>
              <w:t>1.</w:t>
            </w:r>
          </w:p>
        </w:tc>
        <w:tc>
          <w:tcPr>
            <w:tcW w:w="4486" w:type="pct"/>
            <w:gridSpan w:val="2"/>
            <w:shd w:val="clear" w:color="auto" w:fill="DBE5F1" w:themeFill="accent1" w:themeFillTint="33"/>
            <w:hideMark/>
          </w:tcPr>
          <w:p w:rsidR="00125196" w:rsidRPr="00E60AD4" w:rsidRDefault="00125196" w:rsidP="00133E33">
            <w:pPr>
              <w:pStyle w:val="Heading4"/>
              <w:rPr>
                <w:b/>
                <w:sz w:val="20"/>
                <w:szCs w:val="20"/>
              </w:rPr>
            </w:pPr>
            <w:r w:rsidRPr="00E60AD4">
              <w:rPr>
                <w:b/>
                <w:sz w:val="20"/>
                <w:szCs w:val="20"/>
              </w:rPr>
              <w:t>Pre-Launch</w:t>
            </w:r>
          </w:p>
          <w:p w:rsidR="00125196" w:rsidRPr="00E60AD4" w:rsidRDefault="00125196" w:rsidP="00133E33">
            <w:pPr>
              <w:pStyle w:val="Heading4"/>
              <w:rPr>
                <w:sz w:val="20"/>
                <w:szCs w:val="20"/>
              </w:rPr>
            </w:pPr>
            <w:r w:rsidRPr="00E60AD4">
              <w:rPr>
                <w:sz w:val="20"/>
                <w:szCs w:val="20"/>
              </w:rPr>
              <w:t xml:space="preserve">Establish Timeline </w:t>
            </w:r>
            <w:r w:rsidR="00BE2946" w:rsidRPr="00E60AD4">
              <w:rPr>
                <w:sz w:val="20"/>
                <w:szCs w:val="20"/>
              </w:rPr>
              <w:t xml:space="preserve">including dates when you will </w:t>
            </w:r>
            <w:r w:rsidR="00493074" w:rsidRPr="00E60AD4">
              <w:rPr>
                <w:sz w:val="20"/>
                <w:szCs w:val="20"/>
              </w:rPr>
              <w:t>launch your local Pubwatch s</w:t>
            </w:r>
            <w:r w:rsidR="00BE2946" w:rsidRPr="00E60AD4">
              <w:rPr>
                <w:sz w:val="20"/>
                <w:szCs w:val="20"/>
              </w:rPr>
              <w:t>cheme</w:t>
            </w:r>
          </w:p>
          <w:p w:rsidR="00125196" w:rsidRPr="00E60AD4" w:rsidRDefault="00125196" w:rsidP="00133E33">
            <w:pPr>
              <w:pStyle w:val="Heading4"/>
              <w:rPr>
                <w:sz w:val="20"/>
                <w:szCs w:val="20"/>
              </w:rPr>
            </w:pPr>
            <w:r w:rsidRPr="00E60AD4">
              <w:rPr>
                <w:sz w:val="20"/>
                <w:szCs w:val="20"/>
              </w:rPr>
              <w:t>Agree who will:</w:t>
            </w:r>
          </w:p>
          <w:p w:rsidR="00BE2946" w:rsidRPr="00E60AD4" w:rsidRDefault="00BE2946" w:rsidP="00133E33">
            <w:pPr>
              <w:pStyle w:val="Heading4"/>
              <w:numPr>
                <w:ilvl w:val="0"/>
                <w:numId w:val="22"/>
              </w:numPr>
              <w:rPr>
                <w:sz w:val="20"/>
                <w:szCs w:val="20"/>
              </w:rPr>
            </w:pPr>
            <w:r w:rsidRPr="00E60AD4">
              <w:rPr>
                <w:sz w:val="20"/>
                <w:szCs w:val="20"/>
              </w:rPr>
              <w:t xml:space="preserve">Contact National Pubwatch who will </w:t>
            </w:r>
            <w:r w:rsidR="003819D2" w:rsidRPr="00E60AD4">
              <w:rPr>
                <w:sz w:val="20"/>
                <w:szCs w:val="20"/>
              </w:rPr>
              <w:t xml:space="preserve">provide advice </w:t>
            </w:r>
            <w:r w:rsidR="00501F52" w:rsidRPr="00E60AD4">
              <w:rPr>
                <w:sz w:val="20"/>
                <w:szCs w:val="20"/>
              </w:rPr>
              <w:t>to help you set up your s</w:t>
            </w:r>
            <w:r w:rsidRPr="00E60AD4">
              <w:rPr>
                <w:sz w:val="20"/>
                <w:szCs w:val="20"/>
              </w:rPr>
              <w:t>cheme</w:t>
            </w:r>
          </w:p>
          <w:p w:rsidR="00125196" w:rsidRPr="00E60AD4" w:rsidRDefault="00125196" w:rsidP="00133E33">
            <w:pPr>
              <w:pStyle w:val="Heading4"/>
              <w:numPr>
                <w:ilvl w:val="0"/>
                <w:numId w:val="22"/>
              </w:numPr>
              <w:rPr>
                <w:sz w:val="20"/>
                <w:szCs w:val="20"/>
              </w:rPr>
            </w:pPr>
            <w:r w:rsidRPr="00E60AD4">
              <w:rPr>
                <w:sz w:val="20"/>
                <w:szCs w:val="20"/>
              </w:rPr>
              <w:t>Collect and analyse data</w:t>
            </w:r>
          </w:p>
          <w:p w:rsidR="001449BF" w:rsidRPr="00E60AD4" w:rsidRDefault="00125196" w:rsidP="001449BF">
            <w:pPr>
              <w:pStyle w:val="Heading4"/>
              <w:numPr>
                <w:ilvl w:val="0"/>
                <w:numId w:val="22"/>
              </w:numPr>
              <w:spacing w:line="360" w:lineRule="auto"/>
              <w:ind w:left="714" w:hanging="357"/>
              <w:rPr>
                <w:sz w:val="20"/>
                <w:szCs w:val="20"/>
              </w:rPr>
            </w:pPr>
            <w:r w:rsidRPr="00E60AD4">
              <w:rPr>
                <w:sz w:val="20"/>
                <w:szCs w:val="20"/>
              </w:rPr>
              <w:t>Report data</w:t>
            </w:r>
          </w:p>
        </w:tc>
      </w:tr>
      <w:tr w:rsidR="00125196" w:rsidRPr="003E594B" w:rsidTr="00133E33">
        <w:trPr>
          <w:trHeight w:val="1054"/>
        </w:trPr>
        <w:tc>
          <w:tcPr>
            <w:tcW w:w="514" w:type="pct"/>
            <w:shd w:val="clear" w:color="auto" w:fill="DBE5F1" w:themeFill="accent1" w:themeFillTint="33"/>
            <w:hideMark/>
          </w:tcPr>
          <w:p w:rsidR="00125196" w:rsidRPr="00BE2946" w:rsidRDefault="00125196" w:rsidP="00133E33">
            <w:pPr>
              <w:rPr>
                <w:color w:val="000000" w:themeColor="text1"/>
              </w:rPr>
            </w:pPr>
            <w:r w:rsidRPr="00BE2946">
              <w:rPr>
                <w:color w:val="000000" w:themeColor="text1"/>
              </w:rPr>
              <w:t>2.</w:t>
            </w:r>
          </w:p>
        </w:tc>
        <w:tc>
          <w:tcPr>
            <w:tcW w:w="3342" w:type="pct"/>
            <w:shd w:val="clear" w:color="auto" w:fill="DBE5F1" w:themeFill="accent1" w:themeFillTint="33"/>
            <w:hideMark/>
          </w:tcPr>
          <w:p w:rsidR="00125196" w:rsidRPr="00E60AD4" w:rsidRDefault="00125196" w:rsidP="00133E33">
            <w:pPr>
              <w:pStyle w:val="Heading4"/>
              <w:rPr>
                <w:b/>
                <w:sz w:val="20"/>
                <w:szCs w:val="20"/>
              </w:rPr>
            </w:pPr>
            <w:r w:rsidRPr="00E60AD4">
              <w:rPr>
                <w:b/>
                <w:sz w:val="20"/>
                <w:szCs w:val="20"/>
              </w:rPr>
              <w:t>Baseline Evaluation (See Appendix 1)</w:t>
            </w:r>
          </w:p>
          <w:p w:rsidR="00BE2946" w:rsidRPr="00E60AD4" w:rsidRDefault="00125196" w:rsidP="00133E33">
            <w:pPr>
              <w:pStyle w:val="ListParagraph"/>
              <w:numPr>
                <w:ilvl w:val="0"/>
                <w:numId w:val="25"/>
              </w:numPr>
              <w:spacing w:line="276" w:lineRule="auto"/>
              <w:rPr>
                <w:rFonts w:eastAsiaTheme="majorEastAsia" w:cstheme="majorBidi"/>
                <w:iCs/>
                <w:color w:val="404040" w:themeColor="text1" w:themeTint="BF"/>
                <w:sz w:val="20"/>
                <w:szCs w:val="20"/>
              </w:rPr>
            </w:pPr>
            <w:r w:rsidRPr="00E60AD4">
              <w:rPr>
                <w:rFonts w:eastAsiaTheme="majorEastAsia" w:cstheme="majorBidi"/>
                <w:iCs/>
                <w:color w:val="404040" w:themeColor="text1" w:themeTint="BF"/>
                <w:sz w:val="20"/>
                <w:szCs w:val="20"/>
              </w:rPr>
              <w:t xml:space="preserve">Complete immediately after </w:t>
            </w:r>
            <w:r w:rsidR="00BE2946" w:rsidRPr="00E60AD4">
              <w:rPr>
                <w:rFonts w:eastAsiaTheme="majorEastAsia" w:cstheme="majorBidi"/>
                <w:iCs/>
                <w:color w:val="404040" w:themeColor="text1" w:themeTint="BF"/>
                <w:sz w:val="20"/>
                <w:szCs w:val="20"/>
              </w:rPr>
              <w:t>you have decided</w:t>
            </w:r>
            <w:r w:rsidR="00493074" w:rsidRPr="00E60AD4">
              <w:rPr>
                <w:rFonts w:eastAsiaTheme="majorEastAsia" w:cstheme="majorBidi"/>
                <w:iCs/>
                <w:color w:val="404040" w:themeColor="text1" w:themeTint="BF"/>
                <w:sz w:val="20"/>
                <w:szCs w:val="20"/>
              </w:rPr>
              <w:t xml:space="preserve"> to launch your local Pubwatch </w:t>
            </w:r>
            <w:r w:rsidR="00501F52" w:rsidRPr="00E60AD4">
              <w:rPr>
                <w:rFonts w:eastAsiaTheme="majorEastAsia" w:cstheme="majorBidi"/>
                <w:iCs/>
                <w:color w:val="404040" w:themeColor="text1" w:themeTint="BF"/>
                <w:sz w:val="20"/>
                <w:szCs w:val="20"/>
              </w:rPr>
              <w:t xml:space="preserve"> </w:t>
            </w:r>
          </w:p>
          <w:p w:rsidR="00125196" w:rsidRPr="00E60AD4" w:rsidRDefault="00125196" w:rsidP="00031532">
            <w:pPr>
              <w:pStyle w:val="ListParagraph"/>
              <w:numPr>
                <w:ilvl w:val="0"/>
                <w:numId w:val="25"/>
              </w:numPr>
              <w:spacing w:line="276" w:lineRule="auto"/>
              <w:rPr>
                <w:rFonts w:eastAsiaTheme="majorEastAsia" w:cstheme="majorBidi"/>
                <w:iCs/>
                <w:color w:val="404040" w:themeColor="text1" w:themeTint="BF"/>
                <w:sz w:val="20"/>
                <w:szCs w:val="20"/>
              </w:rPr>
            </w:pPr>
            <w:r w:rsidRPr="00E60AD4">
              <w:rPr>
                <w:rFonts w:eastAsiaTheme="majorEastAsia" w:cstheme="majorBidi"/>
                <w:iCs/>
                <w:color w:val="404040" w:themeColor="text1" w:themeTint="BF"/>
                <w:sz w:val="20"/>
                <w:szCs w:val="20"/>
              </w:rPr>
              <w:t>Collect, analyse and evaluate Baseline data</w:t>
            </w:r>
          </w:p>
        </w:tc>
        <w:tc>
          <w:tcPr>
            <w:tcW w:w="1144" w:type="pct"/>
            <w:shd w:val="clear" w:color="auto" w:fill="DBE5F1" w:themeFill="accent1" w:themeFillTint="33"/>
          </w:tcPr>
          <w:p w:rsidR="00125196" w:rsidRPr="00E60AD4" w:rsidRDefault="00125196" w:rsidP="00133E33">
            <w:pPr>
              <w:pStyle w:val="Heading4"/>
              <w:rPr>
                <w:sz w:val="20"/>
                <w:szCs w:val="20"/>
              </w:rPr>
            </w:pPr>
          </w:p>
          <w:p w:rsidR="00125196" w:rsidRPr="00E60AD4" w:rsidRDefault="00125196" w:rsidP="00133E33">
            <w:pPr>
              <w:pStyle w:val="Heading4"/>
              <w:rPr>
                <w:sz w:val="20"/>
                <w:szCs w:val="20"/>
              </w:rPr>
            </w:pPr>
          </w:p>
          <w:p w:rsidR="00125196" w:rsidRPr="00E60AD4" w:rsidRDefault="00125196" w:rsidP="00133E33">
            <w:pPr>
              <w:pStyle w:val="Heading4"/>
              <w:rPr>
                <w:sz w:val="20"/>
                <w:szCs w:val="20"/>
              </w:rPr>
            </w:pPr>
            <w:r w:rsidRPr="00E60AD4">
              <w:rPr>
                <w:sz w:val="20"/>
                <w:szCs w:val="20"/>
              </w:rPr>
              <w:t>Baseline Toolkit</w:t>
            </w:r>
          </w:p>
          <w:p w:rsidR="00125196" w:rsidRPr="00E60AD4" w:rsidRDefault="00125196" w:rsidP="00133E33">
            <w:pPr>
              <w:pStyle w:val="Heading4"/>
              <w:rPr>
                <w:sz w:val="20"/>
                <w:szCs w:val="20"/>
              </w:rPr>
            </w:pPr>
          </w:p>
          <w:p w:rsidR="00125196" w:rsidRPr="00E60AD4" w:rsidRDefault="00125196" w:rsidP="00133E33">
            <w:pPr>
              <w:pStyle w:val="Heading4"/>
              <w:rPr>
                <w:sz w:val="20"/>
                <w:szCs w:val="20"/>
              </w:rPr>
            </w:pPr>
          </w:p>
        </w:tc>
      </w:tr>
      <w:tr w:rsidR="00125196" w:rsidRPr="003E594B" w:rsidTr="00133E33">
        <w:trPr>
          <w:trHeight w:val="672"/>
        </w:trPr>
        <w:tc>
          <w:tcPr>
            <w:tcW w:w="514" w:type="pct"/>
            <w:shd w:val="clear" w:color="auto" w:fill="DBE5F1" w:themeFill="accent1" w:themeFillTint="33"/>
            <w:hideMark/>
          </w:tcPr>
          <w:p w:rsidR="00125196" w:rsidRPr="00BE2946" w:rsidRDefault="00125196" w:rsidP="00133E33">
            <w:pPr>
              <w:rPr>
                <w:color w:val="000000" w:themeColor="text1"/>
              </w:rPr>
            </w:pPr>
            <w:r w:rsidRPr="00BE2946">
              <w:rPr>
                <w:color w:val="000000" w:themeColor="text1"/>
              </w:rPr>
              <w:t>3.</w:t>
            </w:r>
          </w:p>
        </w:tc>
        <w:tc>
          <w:tcPr>
            <w:tcW w:w="3342" w:type="pct"/>
            <w:shd w:val="clear" w:color="auto" w:fill="DBE5F1" w:themeFill="accent1" w:themeFillTint="33"/>
            <w:hideMark/>
          </w:tcPr>
          <w:p w:rsidR="00125196" w:rsidRPr="00E60AD4" w:rsidRDefault="00501F52" w:rsidP="00133E33">
            <w:pPr>
              <w:pStyle w:val="Heading4"/>
              <w:rPr>
                <w:b/>
                <w:sz w:val="20"/>
                <w:szCs w:val="20"/>
              </w:rPr>
            </w:pPr>
            <w:r w:rsidRPr="00E60AD4">
              <w:rPr>
                <w:b/>
                <w:sz w:val="20"/>
                <w:szCs w:val="20"/>
              </w:rPr>
              <w:t>Year-On-</w:t>
            </w:r>
            <w:r w:rsidR="00282578" w:rsidRPr="00E60AD4">
              <w:rPr>
                <w:b/>
                <w:sz w:val="20"/>
                <w:szCs w:val="20"/>
              </w:rPr>
              <w:t>Year Evaluation</w:t>
            </w:r>
            <w:r w:rsidR="00125196" w:rsidRPr="00E60AD4">
              <w:rPr>
                <w:b/>
                <w:sz w:val="20"/>
                <w:szCs w:val="20"/>
              </w:rPr>
              <w:t xml:space="preserve"> (See Appendix 2) </w:t>
            </w:r>
          </w:p>
          <w:p w:rsidR="00125196" w:rsidRPr="00E60AD4" w:rsidRDefault="00125196" w:rsidP="001449BF">
            <w:pPr>
              <w:pStyle w:val="ListParagraph"/>
              <w:numPr>
                <w:ilvl w:val="0"/>
                <w:numId w:val="24"/>
              </w:numPr>
              <w:spacing w:line="360" w:lineRule="auto"/>
              <w:ind w:left="675" w:hanging="357"/>
              <w:rPr>
                <w:rFonts w:eastAsiaTheme="majorEastAsia" w:cstheme="majorBidi"/>
                <w:iCs/>
                <w:color w:val="404040" w:themeColor="text1" w:themeTint="BF"/>
                <w:sz w:val="20"/>
                <w:szCs w:val="20"/>
              </w:rPr>
            </w:pPr>
            <w:r w:rsidRPr="00E60AD4">
              <w:rPr>
                <w:rFonts w:eastAsiaTheme="majorEastAsia" w:cstheme="majorBidi"/>
                <w:iCs/>
                <w:color w:val="404040" w:themeColor="text1" w:themeTint="BF"/>
                <w:sz w:val="20"/>
                <w:szCs w:val="20"/>
              </w:rPr>
              <w:t>Complete one year after launch and annually thereafter</w:t>
            </w:r>
          </w:p>
          <w:p w:rsidR="00125196" w:rsidRPr="00E60AD4" w:rsidRDefault="00125196" w:rsidP="001449BF">
            <w:pPr>
              <w:pStyle w:val="Heading4"/>
              <w:numPr>
                <w:ilvl w:val="0"/>
                <w:numId w:val="23"/>
              </w:numPr>
              <w:spacing w:line="360" w:lineRule="auto"/>
              <w:ind w:left="675" w:hanging="357"/>
              <w:rPr>
                <w:sz w:val="20"/>
                <w:szCs w:val="20"/>
              </w:rPr>
            </w:pPr>
            <w:r w:rsidRPr="00E60AD4">
              <w:rPr>
                <w:sz w:val="20"/>
                <w:szCs w:val="20"/>
              </w:rPr>
              <w:t xml:space="preserve">Collect, analyse and evaluate </w:t>
            </w:r>
            <w:r w:rsidR="00501F52" w:rsidRPr="00E60AD4">
              <w:rPr>
                <w:sz w:val="20"/>
                <w:szCs w:val="20"/>
              </w:rPr>
              <w:t>Year-On-</w:t>
            </w:r>
            <w:r w:rsidR="00282578" w:rsidRPr="00E60AD4">
              <w:rPr>
                <w:sz w:val="20"/>
                <w:szCs w:val="20"/>
              </w:rPr>
              <w:t>Year findings</w:t>
            </w:r>
            <w:r w:rsidRPr="00E60AD4">
              <w:rPr>
                <w:sz w:val="20"/>
                <w:szCs w:val="20"/>
              </w:rPr>
              <w:t xml:space="preserve"> </w:t>
            </w:r>
          </w:p>
        </w:tc>
        <w:tc>
          <w:tcPr>
            <w:tcW w:w="1144" w:type="pct"/>
            <w:shd w:val="clear" w:color="auto" w:fill="DBE5F1" w:themeFill="accent1" w:themeFillTint="33"/>
          </w:tcPr>
          <w:p w:rsidR="00133E33" w:rsidRPr="00E60AD4" w:rsidRDefault="00133E33" w:rsidP="00133E33">
            <w:pPr>
              <w:pStyle w:val="Heading4"/>
              <w:rPr>
                <w:sz w:val="20"/>
                <w:szCs w:val="20"/>
              </w:rPr>
            </w:pPr>
          </w:p>
          <w:p w:rsidR="00125196" w:rsidRPr="00E60AD4" w:rsidRDefault="00501F52" w:rsidP="00133E33">
            <w:pPr>
              <w:pStyle w:val="Heading4"/>
              <w:rPr>
                <w:sz w:val="20"/>
                <w:szCs w:val="20"/>
              </w:rPr>
            </w:pPr>
            <w:r w:rsidRPr="00E60AD4">
              <w:rPr>
                <w:sz w:val="20"/>
                <w:szCs w:val="20"/>
              </w:rPr>
              <w:t xml:space="preserve">Year-On-Year </w:t>
            </w:r>
            <w:r w:rsidR="00125196" w:rsidRPr="00E60AD4">
              <w:rPr>
                <w:sz w:val="20"/>
                <w:szCs w:val="20"/>
              </w:rPr>
              <w:t>Toolkit</w:t>
            </w:r>
          </w:p>
        </w:tc>
      </w:tr>
      <w:tr w:rsidR="006D0F67" w:rsidRPr="003E594B" w:rsidTr="00133E33">
        <w:trPr>
          <w:trHeight w:val="672"/>
        </w:trPr>
        <w:tc>
          <w:tcPr>
            <w:tcW w:w="514" w:type="pct"/>
            <w:shd w:val="clear" w:color="auto" w:fill="DBE5F1" w:themeFill="accent1" w:themeFillTint="33"/>
          </w:tcPr>
          <w:p w:rsidR="006D0F67" w:rsidRPr="00BE2946" w:rsidRDefault="006D0F67" w:rsidP="00133E33">
            <w:pPr>
              <w:rPr>
                <w:color w:val="000000" w:themeColor="text1"/>
              </w:rPr>
            </w:pPr>
            <w:r>
              <w:rPr>
                <w:color w:val="000000" w:themeColor="text1"/>
              </w:rPr>
              <w:t>4</w:t>
            </w:r>
            <w:r w:rsidR="00321B6C">
              <w:rPr>
                <w:color w:val="000000" w:themeColor="text1"/>
              </w:rPr>
              <w:t>*</w:t>
            </w:r>
          </w:p>
        </w:tc>
        <w:tc>
          <w:tcPr>
            <w:tcW w:w="3342" w:type="pct"/>
            <w:shd w:val="clear" w:color="auto" w:fill="DBE5F1" w:themeFill="accent1" w:themeFillTint="33"/>
          </w:tcPr>
          <w:p w:rsidR="00321B6C" w:rsidRDefault="006D0F67" w:rsidP="00321B6C">
            <w:pPr>
              <w:pStyle w:val="Heading4"/>
              <w:rPr>
                <w:b/>
                <w:sz w:val="20"/>
                <w:szCs w:val="20"/>
              </w:rPr>
            </w:pPr>
            <w:r>
              <w:rPr>
                <w:b/>
                <w:sz w:val="20"/>
                <w:szCs w:val="20"/>
              </w:rPr>
              <w:t>Report</w:t>
            </w:r>
            <w:r w:rsidR="00A36ED5">
              <w:rPr>
                <w:b/>
                <w:sz w:val="20"/>
                <w:szCs w:val="20"/>
              </w:rPr>
              <w:t xml:space="preserve"> Findings (See Appendix 3)</w:t>
            </w:r>
            <w:r w:rsidR="00321B6C">
              <w:rPr>
                <w:b/>
                <w:sz w:val="20"/>
                <w:szCs w:val="20"/>
              </w:rPr>
              <w:t xml:space="preserve"> </w:t>
            </w:r>
          </w:p>
          <w:p w:rsidR="00321B6C" w:rsidRPr="00321B6C" w:rsidRDefault="00321B6C" w:rsidP="00321B6C">
            <w:pPr>
              <w:pStyle w:val="ListParagraph"/>
              <w:numPr>
                <w:ilvl w:val="0"/>
                <w:numId w:val="23"/>
              </w:numPr>
            </w:pPr>
            <w:r>
              <w:t xml:space="preserve">Only report findings Year-On-Year </w:t>
            </w:r>
          </w:p>
        </w:tc>
        <w:tc>
          <w:tcPr>
            <w:tcW w:w="1144" w:type="pct"/>
            <w:shd w:val="clear" w:color="auto" w:fill="DBE5F1" w:themeFill="accent1" w:themeFillTint="33"/>
          </w:tcPr>
          <w:p w:rsidR="006D0F67" w:rsidRPr="00E60AD4" w:rsidRDefault="00470329" w:rsidP="00133E33">
            <w:pPr>
              <w:pStyle w:val="Heading4"/>
              <w:rPr>
                <w:sz w:val="20"/>
                <w:szCs w:val="20"/>
              </w:rPr>
            </w:pPr>
            <w:r>
              <w:rPr>
                <w:sz w:val="20"/>
                <w:szCs w:val="20"/>
              </w:rPr>
              <w:t>Outline to Report Findings</w:t>
            </w:r>
          </w:p>
        </w:tc>
      </w:tr>
    </w:tbl>
    <w:p w:rsidR="00125196" w:rsidRDefault="00133E33" w:rsidP="00133E33">
      <w:pPr>
        <w:pStyle w:val="Heading1"/>
      </w:pPr>
      <w:bookmarkStart w:id="14" w:name="_Toc413609565"/>
      <w:bookmarkStart w:id="15" w:name="_Toc458763601"/>
      <w:bookmarkStart w:id="16" w:name="_Toc463882335"/>
      <w:bookmarkStart w:id="17" w:name="_Toc488066631"/>
      <w:r>
        <w:t>7</w:t>
      </w:r>
      <w:r w:rsidR="00740F42">
        <w:t>.</w:t>
      </w:r>
      <w:r w:rsidR="006D0F67">
        <w:t>0</w:t>
      </w:r>
      <w:r w:rsidR="00BE2946">
        <w:t xml:space="preserve"> </w:t>
      </w:r>
      <w:r w:rsidR="00125196" w:rsidRPr="00D35573">
        <w:t xml:space="preserve">When should </w:t>
      </w:r>
      <w:r w:rsidR="00493074">
        <w:t>local Pubwatch s</w:t>
      </w:r>
      <w:r w:rsidR="00BE2946">
        <w:t xml:space="preserve">cheme </w:t>
      </w:r>
      <w:r w:rsidR="00125196" w:rsidRPr="00D35573">
        <w:t>evaluations take place?</w:t>
      </w:r>
      <w:bookmarkEnd w:id="14"/>
      <w:bookmarkEnd w:id="15"/>
      <w:bookmarkEnd w:id="16"/>
      <w:bookmarkEnd w:id="17"/>
    </w:p>
    <w:p w:rsidR="00125196" w:rsidRDefault="00125196" w:rsidP="00125196">
      <w:r>
        <w:t>Effective evaluation is a continuing process</w:t>
      </w:r>
      <w:r w:rsidDel="00E92C0A">
        <w:t xml:space="preserve"> </w:t>
      </w:r>
      <w:r>
        <w:t xml:space="preserve">and should be an integral part of your </w:t>
      </w:r>
      <w:r w:rsidR="00BE2946">
        <w:t xml:space="preserve">local Pubwatch </w:t>
      </w:r>
      <w:r>
        <w:t xml:space="preserve">scheme.  Initially a baseline evaluation is carried out </w:t>
      </w:r>
      <w:r w:rsidR="003819D2">
        <w:t>before</w:t>
      </w:r>
      <w:r w:rsidR="00BE2946">
        <w:t xml:space="preserve"> the scheme </w:t>
      </w:r>
      <w:r>
        <w:t xml:space="preserve">is launched. </w:t>
      </w:r>
    </w:p>
    <w:p w:rsidR="00125196" w:rsidRDefault="00125196" w:rsidP="00125196">
      <w:r>
        <w:t xml:space="preserve">After that, </w:t>
      </w:r>
      <w:r w:rsidR="00501F52">
        <w:t xml:space="preserve">Year-On-Year </w:t>
      </w:r>
      <w:r>
        <w:t>evaluations should take place</w:t>
      </w:r>
      <w:r w:rsidR="00321B6C">
        <w:t xml:space="preserve"> and findings reported</w:t>
      </w:r>
      <w:r>
        <w:t>.  Figure 1 below shows the basic steps involved in this process.</w:t>
      </w:r>
    </w:p>
    <w:p w:rsidR="00125196" w:rsidRPr="00802C8A" w:rsidRDefault="00125196" w:rsidP="00125196"/>
    <w:p w:rsidR="00125196" w:rsidRDefault="00125196" w:rsidP="00125196">
      <w:pPr>
        <w:rPr>
          <w:b/>
        </w:rPr>
      </w:pPr>
      <w:bookmarkStart w:id="18" w:name="_Toc413609566"/>
    </w:p>
    <w:p w:rsidR="00125196" w:rsidRDefault="00125196" w:rsidP="00DF1F9D">
      <w:pPr>
        <w:rPr>
          <w:b/>
          <w:sz w:val="24"/>
          <w:szCs w:val="24"/>
        </w:rPr>
      </w:pPr>
      <w:r w:rsidRPr="00DF1F9D">
        <w:rPr>
          <w:b/>
          <w:sz w:val="24"/>
          <w:szCs w:val="24"/>
        </w:rPr>
        <w:t>Figure 1 Step-by-Step Guide</w:t>
      </w:r>
      <w:bookmarkEnd w:id="18"/>
      <w:r w:rsidRPr="00DF1F9D">
        <w:rPr>
          <w:b/>
          <w:sz w:val="24"/>
          <w:szCs w:val="24"/>
        </w:rPr>
        <w:t xml:space="preserve"> for </w:t>
      </w:r>
      <w:r w:rsidR="00B40055" w:rsidRPr="00DF1F9D">
        <w:rPr>
          <w:b/>
          <w:sz w:val="24"/>
          <w:szCs w:val="24"/>
        </w:rPr>
        <w:t xml:space="preserve">the </w:t>
      </w:r>
      <w:r w:rsidRPr="00DF1F9D">
        <w:rPr>
          <w:b/>
          <w:sz w:val="24"/>
          <w:szCs w:val="24"/>
        </w:rPr>
        <w:t>Evaluation Process</w:t>
      </w:r>
    </w:p>
    <w:p w:rsidR="00A36ED5" w:rsidRPr="00DF1F9D" w:rsidRDefault="00A36ED5" w:rsidP="00DF1F9D">
      <w:pPr>
        <w:rPr>
          <w:b/>
          <w:sz w:val="24"/>
          <w:szCs w:val="24"/>
        </w:rPr>
      </w:pPr>
    </w:p>
    <w:p w:rsidR="00C472AC" w:rsidRPr="00C472AC" w:rsidRDefault="00C472AC" w:rsidP="00C472AC">
      <w:r>
        <w:rPr>
          <w:noProof/>
          <w:lang w:eastAsia="en-GB"/>
        </w:rPr>
        <w:drawing>
          <wp:inline distT="0" distB="0" distL="0" distR="0">
            <wp:extent cx="6042853" cy="1741170"/>
            <wp:effectExtent l="0" t="0" r="0" b="1143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A36ED5" w:rsidRDefault="00A36ED5">
      <w:pPr>
        <w:rPr>
          <w:rFonts w:ascii="Cambria" w:eastAsia="Times New Roman" w:hAnsi="Cambria"/>
          <w:b/>
          <w:bCs/>
          <w:color w:val="365F91"/>
          <w:sz w:val="28"/>
          <w:szCs w:val="28"/>
        </w:rPr>
      </w:pPr>
      <w:bookmarkStart w:id="19" w:name="_Toc463882336"/>
      <w:r>
        <w:br w:type="page"/>
      </w:r>
    </w:p>
    <w:p w:rsidR="00EC176B" w:rsidRDefault="00125196" w:rsidP="00EC176B">
      <w:pPr>
        <w:pStyle w:val="Heading1"/>
      </w:pPr>
      <w:bookmarkStart w:id="20" w:name="_Toc488066632"/>
      <w:r w:rsidRPr="00740F42">
        <w:lastRenderedPageBreak/>
        <w:t>Appendi</w:t>
      </w:r>
      <w:bookmarkEnd w:id="19"/>
      <w:r w:rsidR="00EC176B">
        <w:t>ces</w:t>
      </w:r>
      <w:bookmarkEnd w:id="20"/>
    </w:p>
    <w:p w:rsidR="00EC176B" w:rsidRDefault="00EC176B" w:rsidP="00EC176B"/>
    <w:p w:rsidR="00EC176B" w:rsidRDefault="00A36ED5" w:rsidP="00EC176B">
      <w:r>
        <w:t>Toolkits</w:t>
      </w:r>
      <w:r w:rsidR="006B3FB7">
        <w:t xml:space="preserve">  </w:t>
      </w:r>
    </w:p>
    <w:p w:rsidR="00EC176B" w:rsidRDefault="00EC176B" w:rsidP="00EC176B">
      <w:pPr>
        <w:rPr>
          <w:b/>
        </w:rPr>
      </w:pPr>
    </w:p>
    <w:p w:rsidR="00EC176B" w:rsidRDefault="00EC176B" w:rsidP="00EC176B">
      <w:r w:rsidRPr="00B15D99">
        <w:rPr>
          <w:b/>
        </w:rPr>
        <w:t>Appendix 1</w:t>
      </w:r>
      <w:r>
        <w:t xml:space="preserve"> </w:t>
      </w:r>
      <w:r w:rsidRPr="00E70644">
        <w:t xml:space="preserve">Baseline </w:t>
      </w:r>
      <w:r>
        <w:t>Evaluation Toolkit</w:t>
      </w:r>
    </w:p>
    <w:p w:rsidR="00E05661" w:rsidRDefault="00E05661" w:rsidP="00EC176B"/>
    <w:p w:rsidR="00623D91" w:rsidRDefault="00623D91" w:rsidP="00EC176B"/>
    <w:bookmarkStart w:id="21" w:name="_MON_1561808446"/>
    <w:bookmarkEnd w:id="21"/>
    <w:p w:rsidR="00E05661" w:rsidRPr="00E70644" w:rsidRDefault="00321B6C" w:rsidP="00EC176B">
      <w:r>
        <w:object w:dxaOrig="1531" w:dyaOrig="9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9" o:title=""/>
          </v:shape>
          <o:OLEObject Type="Embed" ProgID="Word.Document.12" ShapeID="_x0000_i1025" DrawAspect="Icon" ObjectID="_1561808680" r:id="rId20">
            <o:FieldCodes>\s</o:FieldCodes>
          </o:OLEObject>
        </w:object>
      </w:r>
    </w:p>
    <w:p w:rsidR="00EC176B" w:rsidRPr="00E70644" w:rsidRDefault="00EC176B" w:rsidP="00EC176B"/>
    <w:p w:rsidR="00EC176B" w:rsidRDefault="00EC176B" w:rsidP="00EC176B">
      <w:r>
        <w:rPr>
          <w:b/>
        </w:rPr>
        <w:t>Appendix 2</w:t>
      </w:r>
      <w:r>
        <w:t xml:space="preserve"> </w:t>
      </w:r>
      <w:r w:rsidR="00501F52">
        <w:t xml:space="preserve">Year-On-Year </w:t>
      </w:r>
      <w:r>
        <w:t>Evaluation</w:t>
      </w:r>
      <w:r w:rsidRPr="00E70644">
        <w:t xml:space="preserve"> </w:t>
      </w:r>
      <w:r>
        <w:t>Toolkit</w:t>
      </w:r>
    </w:p>
    <w:p w:rsidR="00DF3311" w:rsidRDefault="00DF3311" w:rsidP="00EC176B"/>
    <w:p w:rsidR="00DF3311" w:rsidRDefault="00DF3311" w:rsidP="00EC176B"/>
    <w:bookmarkStart w:id="22" w:name="_MON_1561808478"/>
    <w:bookmarkEnd w:id="22"/>
    <w:p w:rsidR="00DF3311" w:rsidRDefault="00321B6C" w:rsidP="00EC176B">
      <w:r>
        <w:object w:dxaOrig="1531" w:dyaOrig="990">
          <v:shape id="_x0000_i1026" type="#_x0000_t75" style="width:76.5pt;height:49.5pt" o:ole="">
            <v:imagedata r:id="rId21" o:title=""/>
          </v:shape>
          <o:OLEObject Type="Embed" ProgID="Word.Document.12" ShapeID="_x0000_i1026" DrawAspect="Icon" ObjectID="_1561808681" r:id="rId22">
            <o:FieldCodes>\s</o:FieldCodes>
          </o:OLEObject>
        </w:object>
      </w:r>
    </w:p>
    <w:p w:rsidR="00DF3311" w:rsidRDefault="00DF3311" w:rsidP="00EC176B"/>
    <w:p w:rsidR="00DF3311" w:rsidRDefault="00DF3311" w:rsidP="00EC176B">
      <w:r w:rsidRPr="00DF3311">
        <w:rPr>
          <w:b/>
        </w:rPr>
        <w:t>Appendix 3</w:t>
      </w:r>
      <w:r>
        <w:t xml:space="preserve"> Outline to Report Findings</w:t>
      </w:r>
    </w:p>
    <w:p w:rsidR="006D0F67" w:rsidRDefault="006D0F67" w:rsidP="00EC176B"/>
    <w:p w:rsidR="009907D6" w:rsidRDefault="009907D6" w:rsidP="00EC176B"/>
    <w:bookmarkStart w:id="23" w:name="_MON_1561808652"/>
    <w:bookmarkEnd w:id="23"/>
    <w:p w:rsidR="006D0F67" w:rsidRDefault="00264192" w:rsidP="00EC176B">
      <w:r>
        <w:object w:dxaOrig="1531" w:dyaOrig="990">
          <v:shape id="_x0000_i1027" type="#_x0000_t75" style="width:76.5pt;height:49.5pt" o:ole="">
            <v:imagedata r:id="rId23" o:title=""/>
          </v:shape>
          <o:OLEObject Type="Embed" ProgID="Word.Document.12" ShapeID="_x0000_i1027" DrawAspect="Icon" ObjectID="_1561808682" r:id="rId24">
            <o:FieldCodes>\s</o:FieldCodes>
          </o:OLEObject>
        </w:object>
      </w:r>
      <w:bookmarkStart w:id="24" w:name="_GoBack"/>
      <w:bookmarkEnd w:id="24"/>
    </w:p>
    <w:p w:rsidR="00E05661" w:rsidRDefault="00E05661" w:rsidP="00EC176B"/>
    <w:p w:rsidR="00EC176B" w:rsidRDefault="00EC176B" w:rsidP="00EC176B"/>
    <w:p w:rsidR="00125196" w:rsidRPr="00AD0462" w:rsidRDefault="00125196" w:rsidP="00EC176B">
      <w:pPr>
        <w:rPr>
          <w:b/>
          <w:color w:val="FF0000"/>
        </w:rPr>
      </w:pPr>
      <w:r w:rsidRPr="00AD0462">
        <w:rPr>
          <w:color w:val="FF0000"/>
        </w:rPr>
        <w:t xml:space="preserve">Should you have any questions about collecting, evaluating and reporting your findings; or indeed any other issues </w:t>
      </w:r>
      <w:r w:rsidRPr="00AD0462">
        <w:rPr>
          <w:noProof/>
          <w:color w:val="FF0000"/>
        </w:rPr>
        <w:t>affecting</w:t>
      </w:r>
      <w:r w:rsidRPr="00AD0462">
        <w:rPr>
          <w:color w:val="FF0000"/>
        </w:rPr>
        <w:t xml:space="preserve"> </w:t>
      </w:r>
      <w:r w:rsidR="00BE2946" w:rsidRPr="00AD0462">
        <w:rPr>
          <w:color w:val="FF0000"/>
        </w:rPr>
        <w:t>local</w:t>
      </w:r>
      <w:r w:rsidR="00493074" w:rsidRPr="00AD0462">
        <w:rPr>
          <w:color w:val="FF0000"/>
        </w:rPr>
        <w:t xml:space="preserve"> Pubwatch s</w:t>
      </w:r>
      <w:r w:rsidR="00BE2946" w:rsidRPr="00AD0462">
        <w:rPr>
          <w:color w:val="FF0000"/>
        </w:rPr>
        <w:t xml:space="preserve">cheme </w:t>
      </w:r>
      <w:r w:rsidR="00133E33" w:rsidRPr="00AD0462">
        <w:rPr>
          <w:color w:val="FF0000"/>
        </w:rPr>
        <w:t xml:space="preserve">email us at </w:t>
      </w:r>
      <w:hyperlink r:id="rId25" w:history="1">
        <w:r w:rsidR="00133E33" w:rsidRPr="00AD0462">
          <w:rPr>
            <w:rStyle w:val="Hyperlink"/>
            <w:color w:val="FF0000"/>
          </w:rPr>
          <w:t>admin@nationalpubwatch.org.uk</w:t>
        </w:r>
      </w:hyperlink>
      <w:r w:rsidR="00133E33" w:rsidRPr="00AD0462">
        <w:rPr>
          <w:color w:val="FF0000"/>
        </w:rPr>
        <w:t xml:space="preserve">  </w:t>
      </w:r>
    </w:p>
    <w:sectPr w:rsidR="00125196" w:rsidRPr="00AD0462" w:rsidSect="00637BF5">
      <w:footerReference w:type="default" r:id="rId26"/>
      <w:footerReference w:type="first" r:id="rId27"/>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38B4" w:rsidRDefault="00D338B4" w:rsidP="00804C1B">
      <w:r>
        <w:separator/>
      </w:r>
    </w:p>
  </w:endnote>
  <w:endnote w:type="continuationSeparator" w:id="0">
    <w:p w:rsidR="00D338B4" w:rsidRDefault="00D338B4" w:rsidP="00804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text" w:tblpY="1"/>
      <w:tblW w:w="5000" w:type="pct"/>
      <w:tblLook w:val="04A0" w:firstRow="1" w:lastRow="0" w:firstColumn="1" w:lastColumn="0" w:noHBand="0" w:noVBand="1"/>
    </w:tblPr>
    <w:tblGrid>
      <w:gridCol w:w="4868"/>
      <w:gridCol w:w="1082"/>
      <w:gridCol w:w="4868"/>
    </w:tblGrid>
    <w:tr w:rsidR="00365EF3" w:rsidRPr="0034681B" w:rsidTr="0034681B">
      <w:trPr>
        <w:trHeight w:val="151"/>
      </w:trPr>
      <w:tc>
        <w:tcPr>
          <w:tcW w:w="2250" w:type="pct"/>
          <w:tcBorders>
            <w:bottom w:val="single" w:sz="4" w:space="0" w:color="4F81BD"/>
          </w:tcBorders>
        </w:tcPr>
        <w:p w:rsidR="00365EF3" w:rsidRPr="0034681B" w:rsidRDefault="00365EF3">
          <w:pPr>
            <w:pStyle w:val="Header"/>
            <w:rPr>
              <w:rFonts w:ascii="Cambria" w:eastAsia="Times New Roman" w:hAnsi="Cambria"/>
              <w:b/>
              <w:bCs/>
            </w:rPr>
          </w:pPr>
        </w:p>
      </w:tc>
      <w:tc>
        <w:tcPr>
          <w:tcW w:w="500" w:type="pct"/>
          <w:vMerge w:val="restart"/>
          <w:noWrap/>
          <w:vAlign w:val="center"/>
        </w:tcPr>
        <w:p w:rsidR="00365EF3" w:rsidRPr="0034681B" w:rsidRDefault="009A34BA" w:rsidP="00B322D4">
          <w:pPr>
            <w:pStyle w:val="NoSpacing"/>
            <w:rPr>
              <w:rFonts w:ascii="Cambria" w:hAnsi="Cambria"/>
            </w:rPr>
          </w:pPr>
          <w:r w:rsidRPr="0034681B">
            <w:rPr>
              <w:rFonts w:ascii="Cambria" w:hAnsi="Cambria"/>
            </w:rPr>
            <w:t>Page 2</w:t>
          </w:r>
        </w:p>
      </w:tc>
      <w:tc>
        <w:tcPr>
          <w:tcW w:w="2250" w:type="pct"/>
          <w:tcBorders>
            <w:bottom w:val="single" w:sz="4" w:space="0" w:color="4F81BD"/>
          </w:tcBorders>
        </w:tcPr>
        <w:p w:rsidR="00365EF3" w:rsidRPr="0034681B" w:rsidRDefault="00365EF3">
          <w:pPr>
            <w:pStyle w:val="Header"/>
            <w:rPr>
              <w:rFonts w:ascii="Cambria" w:eastAsia="Times New Roman" w:hAnsi="Cambria"/>
              <w:b/>
              <w:bCs/>
            </w:rPr>
          </w:pPr>
        </w:p>
      </w:tc>
    </w:tr>
    <w:tr w:rsidR="00365EF3" w:rsidRPr="0034681B" w:rsidTr="0034681B">
      <w:trPr>
        <w:trHeight w:val="150"/>
      </w:trPr>
      <w:tc>
        <w:tcPr>
          <w:tcW w:w="2250" w:type="pct"/>
          <w:tcBorders>
            <w:top w:val="single" w:sz="4" w:space="0" w:color="4F81BD"/>
          </w:tcBorders>
        </w:tcPr>
        <w:p w:rsidR="00365EF3" w:rsidRPr="0034681B" w:rsidRDefault="00365EF3">
          <w:pPr>
            <w:pStyle w:val="Header"/>
            <w:rPr>
              <w:rFonts w:ascii="Cambria" w:eastAsia="Times New Roman" w:hAnsi="Cambria"/>
              <w:b/>
              <w:bCs/>
            </w:rPr>
          </w:pPr>
        </w:p>
      </w:tc>
      <w:tc>
        <w:tcPr>
          <w:tcW w:w="500" w:type="pct"/>
          <w:vMerge/>
        </w:tcPr>
        <w:p w:rsidR="00365EF3" w:rsidRPr="0034681B" w:rsidRDefault="00365EF3">
          <w:pPr>
            <w:pStyle w:val="Header"/>
            <w:jc w:val="center"/>
            <w:rPr>
              <w:rFonts w:ascii="Cambria" w:eastAsia="Times New Roman" w:hAnsi="Cambria"/>
              <w:b/>
              <w:bCs/>
            </w:rPr>
          </w:pPr>
        </w:p>
      </w:tc>
      <w:tc>
        <w:tcPr>
          <w:tcW w:w="2250" w:type="pct"/>
          <w:tcBorders>
            <w:top w:val="single" w:sz="4" w:space="0" w:color="4F81BD"/>
          </w:tcBorders>
        </w:tcPr>
        <w:p w:rsidR="00365EF3" w:rsidRPr="0034681B" w:rsidRDefault="00365EF3">
          <w:pPr>
            <w:pStyle w:val="Header"/>
            <w:rPr>
              <w:rFonts w:ascii="Cambria" w:eastAsia="Times New Roman" w:hAnsi="Cambria"/>
              <w:b/>
              <w:bCs/>
            </w:rPr>
          </w:pPr>
        </w:p>
      </w:tc>
    </w:tr>
  </w:tbl>
  <w:p w:rsidR="00804C1B" w:rsidRDefault="00804C1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text" w:tblpY="1"/>
      <w:tblW w:w="5000" w:type="pct"/>
      <w:tblLook w:val="04A0" w:firstRow="1" w:lastRow="0" w:firstColumn="1" w:lastColumn="0" w:noHBand="0" w:noVBand="1"/>
    </w:tblPr>
    <w:tblGrid>
      <w:gridCol w:w="4159"/>
      <w:gridCol w:w="924"/>
      <w:gridCol w:w="4159"/>
    </w:tblGrid>
    <w:tr w:rsidR="001529F8" w:rsidRPr="0034681B" w:rsidTr="0034681B">
      <w:trPr>
        <w:trHeight w:val="151"/>
      </w:trPr>
      <w:tc>
        <w:tcPr>
          <w:tcW w:w="2250" w:type="pct"/>
          <w:tcBorders>
            <w:bottom w:val="single" w:sz="4" w:space="0" w:color="4F81BD"/>
          </w:tcBorders>
        </w:tcPr>
        <w:p w:rsidR="001529F8" w:rsidRPr="0034681B" w:rsidRDefault="001529F8">
          <w:pPr>
            <w:pStyle w:val="Header"/>
            <w:rPr>
              <w:rFonts w:ascii="Cambria" w:eastAsia="Times New Roman" w:hAnsi="Cambria"/>
              <w:b/>
              <w:bCs/>
            </w:rPr>
          </w:pPr>
        </w:p>
      </w:tc>
      <w:tc>
        <w:tcPr>
          <w:tcW w:w="500" w:type="pct"/>
          <w:vMerge w:val="restart"/>
          <w:noWrap/>
          <w:vAlign w:val="center"/>
        </w:tcPr>
        <w:p w:rsidR="001529F8" w:rsidRPr="0034681B" w:rsidRDefault="001529F8">
          <w:pPr>
            <w:pStyle w:val="NoSpacing"/>
            <w:rPr>
              <w:rFonts w:ascii="Cambria" w:hAnsi="Cambria"/>
            </w:rPr>
          </w:pPr>
          <w:r w:rsidRPr="0034681B">
            <w:rPr>
              <w:rFonts w:ascii="Cambria" w:hAnsi="Cambria"/>
              <w:b/>
            </w:rPr>
            <w:t xml:space="preserve">Page </w:t>
          </w:r>
          <w:r w:rsidR="00867FF6" w:rsidRPr="0034681B">
            <w:fldChar w:fldCharType="begin"/>
          </w:r>
          <w:r w:rsidR="0077761E" w:rsidRPr="0034681B">
            <w:instrText xml:space="preserve"> PAGE  \* MERGEFORMAT </w:instrText>
          </w:r>
          <w:r w:rsidR="00867FF6" w:rsidRPr="0034681B">
            <w:fldChar w:fldCharType="separate"/>
          </w:r>
          <w:r w:rsidR="00264192" w:rsidRPr="00264192">
            <w:rPr>
              <w:rFonts w:ascii="Cambria" w:hAnsi="Cambria"/>
              <w:b/>
              <w:noProof/>
            </w:rPr>
            <w:t>4</w:t>
          </w:r>
          <w:r w:rsidR="00867FF6" w:rsidRPr="0034681B">
            <w:rPr>
              <w:rFonts w:ascii="Cambria" w:hAnsi="Cambria"/>
              <w:b/>
              <w:noProof/>
            </w:rPr>
            <w:fldChar w:fldCharType="end"/>
          </w:r>
        </w:p>
      </w:tc>
      <w:tc>
        <w:tcPr>
          <w:tcW w:w="2250" w:type="pct"/>
          <w:tcBorders>
            <w:bottom w:val="single" w:sz="4" w:space="0" w:color="4F81BD"/>
          </w:tcBorders>
        </w:tcPr>
        <w:p w:rsidR="001529F8" w:rsidRPr="0034681B" w:rsidRDefault="001529F8">
          <w:pPr>
            <w:pStyle w:val="Header"/>
            <w:rPr>
              <w:rFonts w:ascii="Cambria" w:eastAsia="Times New Roman" w:hAnsi="Cambria"/>
              <w:b/>
              <w:bCs/>
            </w:rPr>
          </w:pPr>
        </w:p>
      </w:tc>
    </w:tr>
    <w:tr w:rsidR="001529F8" w:rsidRPr="0034681B" w:rsidTr="0034681B">
      <w:trPr>
        <w:trHeight w:val="150"/>
      </w:trPr>
      <w:tc>
        <w:tcPr>
          <w:tcW w:w="2250" w:type="pct"/>
          <w:tcBorders>
            <w:top w:val="single" w:sz="4" w:space="0" w:color="4F81BD"/>
          </w:tcBorders>
        </w:tcPr>
        <w:p w:rsidR="001529F8" w:rsidRPr="0034681B" w:rsidRDefault="001529F8">
          <w:pPr>
            <w:pStyle w:val="Header"/>
            <w:rPr>
              <w:rFonts w:ascii="Cambria" w:eastAsia="Times New Roman" w:hAnsi="Cambria"/>
              <w:b/>
              <w:bCs/>
            </w:rPr>
          </w:pPr>
        </w:p>
      </w:tc>
      <w:tc>
        <w:tcPr>
          <w:tcW w:w="500" w:type="pct"/>
          <w:vMerge/>
        </w:tcPr>
        <w:p w:rsidR="001529F8" w:rsidRPr="0034681B" w:rsidRDefault="001529F8">
          <w:pPr>
            <w:pStyle w:val="Header"/>
            <w:jc w:val="center"/>
            <w:rPr>
              <w:rFonts w:ascii="Cambria" w:eastAsia="Times New Roman" w:hAnsi="Cambria"/>
              <w:b/>
              <w:bCs/>
            </w:rPr>
          </w:pPr>
        </w:p>
      </w:tc>
      <w:tc>
        <w:tcPr>
          <w:tcW w:w="2250" w:type="pct"/>
          <w:tcBorders>
            <w:top w:val="single" w:sz="4" w:space="0" w:color="4F81BD"/>
          </w:tcBorders>
        </w:tcPr>
        <w:p w:rsidR="001529F8" w:rsidRPr="0034681B" w:rsidRDefault="001529F8">
          <w:pPr>
            <w:pStyle w:val="Header"/>
            <w:rPr>
              <w:rFonts w:ascii="Cambria" w:eastAsia="Times New Roman" w:hAnsi="Cambria"/>
              <w:b/>
              <w:bCs/>
            </w:rPr>
          </w:pPr>
        </w:p>
      </w:tc>
    </w:tr>
  </w:tbl>
  <w:p w:rsidR="001529F8" w:rsidRDefault="001529F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text" w:tblpY="1"/>
      <w:tblW w:w="5000" w:type="pct"/>
      <w:tblLook w:val="04A0" w:firstRow="1" w:lastRow="0" w:firstColumn="1" w:lastColumn="0" w:noHBand="0" w:noVBand="1"/>
    </w:tblPr>
    <w:tblGrid>
      <w:gridCol w:w="4159"/>
      <w:gridCol w:w="924"/>
      <w:gridCol w:w="4159"/>
    </w:tblGrid>
    <w:tr w:rsidR="001529F8" w:rsidRPr="0034681B" w:rsidTr="0034681B">
      <w:trPr>
        <w:trHeight w:val="151"/>
      </w:trPr>
      <w:tc>
        <w:tcPr>
          <w:tcW w:w="2250" w:type="pct"/>
          <w:tcBorders>
            <w:bottom w:val="single" w:sz="4" w:space="0" w:color="4F81BD"/>
          </w:tcBorders>
        </w:tcPr>
        <w:p w:rsidR="001529F8" w:rsidRPr="0034681B" w:rsidRDefault="001529F8" w:rsidP="001529F8">
          <w:pPr>
            <w:pStyle w:val="Header"/>
            <w:tabs>
              <w:tab w:val="clear" w:pos="4513"/>
              <w:tab w:val="clear" w:pos="9026"/>
              <w:tab w:val="left" w:pos="1042"/>
            </w:tabs>
            <w:rPr>
              <w:rFonts w:ascii="Cambria" w:eastAsia="Times New Roman" w:hAnsi="Cambria"/>
              <w:b/>
              <w:bCs/>
            </w:rPr>
          </w:pPr>
          <w:r w:rsidRPr="0034681B">
            <w:rPr>
              <w:rFonts w:ascii="Cambria" w:eastAsia="Times New Roman" w:hAnsi="Cambria"/>
              <w:b/>
              <w:bCs/>
            </w:rPr>
            <w:tab/>
          </w:r>
        </w:p>
      </w:tc>
      <w:tc>
        <w:tcPr>
          <w:tcW w:w="500" w:type="pct"/>
          <w:vMerge w:val="restart"/>
          <w:noWrap/>
          <w:vAlign w:val="center"/>
        </w:tcPr>
        <w:p w:rsidR="001529F8" w:rsidRPr="0034681B" w:rsidRDefault="001529F8">
          <w:pPr>
            <w:pStyle w:val="NoSpacing"/>
            <w:rPr>
              <w:rFonts w:ascii="Cambria" w:hAnsi="Cambria"/>
            </w:rPr>
          </w:pPr>
          <w:r w:rsidRPr="0034681B">
            <w:rPr>
              <w:rFonts w:ascii="Cambria" w:hAnsi="Cambria"/>
              <w:b/>
            </w:rPr>
            <w:t xml:space="preserve">Page </w:t>
          </w:r>
          <w:r w:rsidR="00867FF6" w:rsidRPr="0034681B">
            <w:fldChar w:fldCharType="begin"/>
          </w:r>
          <w:r w:rsidR="0077761E" w:rsidRPr="0034681B">
            <w:instrText xml:space="preserve"> PAGE  \* MERGEFORMAT </w:instrText>
          </w:r>
          <w:r w:rsidR="00867FF6" w:rsidRPr="0034681B">
            <w:fldChar w:fldCharType="separate"/>
          </w:r>
          <w:r w:rsidR="00264192" w:rsidRPr="00264192">
            <w:rPr>
              <w:rFonts w:ascii="Cambria" w:hAnsi="Cambria"/>
              <w:b/>
              <w:noProof/>
            </w:rPr>
            <w:t>1</w:t>
          </w:r>
          <w:r w:rsidR="00867FF6" w:rsidRPr="0034681B">
            <w:rPr>
              <w:rFonts w:ascii="Cambria" w:hAnsi="Cambria"/>
              <w:b/>
              <w:noProof/>
            </w:rPr>
            <w:fldChar w:fldCharType="end"/>
          </w:r>
        </w:p>
      </w:tc>
      <w:tc>
        <w:tcPr>
          <w:tcW w:w="2250" w:type="pct"/>
          <w:tcBorders>
            <w:bottom w:val="single" w:sz="4" w:space="0" w:color="4F81BD"/>
          </w:tcBorders>
        </w:tcPr>
        <w:p w:rsidR="001529F8" w:rsidRPr="0034681B" w:rsidRDefault="001529F8">
          <w:pPr>
            <w:pStyle w:val="Header"/>
            <w:rPr>
              <w:rFonts w:ascii="Cambria" w:eastAsia="Times New Roman" w:hAnsi="Cambria"/>
              <w:b/>
              <w:bCs/>
            </w:rPr>
          </w:pPr>
        </w:p>
      </w:tc>
    </w:tr>
    <w:tr w:rsidR="001529F8" w:rsidRPr="0034681B" w:rsidTr="0034681B">
      <w:trPr>
        <w:trHeight w:val="150"/>
      </w:trPr>
      <w:tc>
        <w:tcPr>
          <w:tcW w:w="2250" w:type="pct"/>
          <w:tcBorders>
            <w:top w:val="single" w:sz="4" w:space="0" w:color="4F81BD"/>
          </w:tcBorders>
        </w:tcPr>
        <w:p w:rsidR="001529F8" w:rsidRPr="0034681B" w:rsidRDefault="001529F8">
          <w:pPr>
            <w:pStyle w:val="Header"/>
            <w:rPr>
              <w:rFonts w:ascii="Cambria" w:eastAsia="Times New Roman" w:hAnsi="Cambria"/>
              <w:b/>
              <w:bCs/>
            </w:rPr>
          </w:pPr>
        </w:p>
      </w:tc>
      <w:tc>
        <w:tcPr>
          <w:tcW w:w="500" w:type="pct"/>
          <w:vMerge/>
        </w:tcPr>
        <w:p w:rsidR="001529F8" w:rsidRPr="0034681B" w:rsidRDefault="001529F8">
          <w:pPr>
            <w:pStyle w:val="Header"/>
            <w:jc w:val="center"/>
            <w:rPr>
              <w:rFonts w:ascii="Cambria" w:eastAsia="Times New Roman" w:hAnsi="Cambria"/>
              <w:b/>
              <w:bCs/>
            </w:rPr>
          </w:pPr>
        </w:p>
      </w:tc>
      <w:tc>
        <w:tcPr>
          <w:tcW w:w="2250" w:type="pct"/>
          <w:tcBorders>
            <w:top w:val="single" w:sz="4" w:space="0" w:color="4F81BD"/>
          </w:tcBorders>
        </w:tcPr>
        <w:p w:rsidR="001529F8" w:rsidRPr="0034681B" w:rsidRDefault="001529F8">
          <w:pPr>
            <w:pStyle w:val="Header"/>
            <w:rPr>
              <w:rFonts w:ascii="Cambria" w:eastAsia="Times New Roman" w:hAnsi="Cambria"/>
              <w:b/>
              <w:bCs/>
            </w:rPr>
          </w:pPr>
        </w:p>
      </w:tc>
    </w:tr>
  </w:tbl>
  <w:p w:rsidR="00365EF3" w:rsidRDefault="00365E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38B4" w:rsidRDefault="00D338B4" w:rsidP="00804C1B">
      <w:r>
        <w:separator/>
      </w:r>
    </w:p>
  </w:footnote>
  <w:footnote w:type="continuationSeparator" w:id="0">
    <w:p w:rsidR="00D338B4" w:rsidRDefault="00D338B4" w:rsidP="00804C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D30E8"/>
    <w:multiLevelType w:val="hybridMultilevel"/>
    <w:tmpl w:val="8F6A44F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E51E01"/>
    <w:multiLevelType w:val="hybridMultilevel"/>
    <w:tmpl w:val="D71854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A05376"/>
    <w:multiLevelType w:val="multilevel"/>
    <w:tmpl w:val="B2089084"/>
    <w:lvl w:ilvl="0">
      <w:start w:val="3"/>
      <w:numFmt w:val="decimal"/>
      <w:lvlText w:val="%1."/>
      <w:lvlJc w:val="left"/>
      <w:pPr>
        <w:tabs>
          <w:tab w:val="num" w:pos="0"/>
        </w:tabs>
        <w:ind w:left="360" w:hanging="360"/>
      </w:pPr>
      <w:rPr>
        <w:rFonts w:ascii="Arial" w:hAnsi="Arial" w:cs="Times New Roman" w:hint="default"/>
        <w:b/>
        <w:bCs/>
        <w:i w:val="0"/>
        <w:iCs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ED52200"/>
    <w:multiLevelType w:val="hybridMultilevel"/>
    <w:tmpl w:val="1EA88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3C1C43"/>
    <w:multiLevelType w:val="hybridMultilevel"/>
    <w:tmpl w:val="0884EF84"/>
    <w:lvl w:ilvl="0" w:tplc="99D4E75A">
      <w:start w:val="1"/>
      <w:numFmt w:val="decimal"/>
      <w:lvlText w:val="%1."/>
      <w:lvlJc w:val="left"/>
      <w:pPr>
        <w:tabs>
          <w:tab w:val="num" w:pos="720"/>
        </w:tabs>
        <w:ind w:left="720" w:hanging="360"/>
      </w:pPr>
      <w:rPr>
        <w:rFonts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6DB7E7E"/>
    <w:multiLevelType w:val="hybridMultilevel"/>
    <w:tmpl w:val="96E099DA"/>
    <w:lvl w:ilvl="0" w:tplc="3C6697B2">
      <w:start w:val="1"/>
      <w:numFmt w:val="decimal"/>
      <w:lvlText w:val="%1."/>
      <w:lvlJc w:val="left"/>
      <w:pPr>
        <w:tabs>
          <w:tab w:val="num" w:pos="0"/>
        </w:tabs>
        <w:ind w:left="360" w:hanging="360"/>
      </w:pPr>
      <w:rPr>
        <w:rFonts w:ascii="Arial" w:hAnsi="Arial" w:cs="Times New Roman" w:hint="default"/>
        <w:b/>
        <w:bCs/>
        <w:i w:val="0"/>
        <w:iCs w:val="0"/>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2375760A"/>
    <w:multiLevelType w:val="multilevel"/>
    <w:tmpl w:val="4F223CF2"/>
    <w:lvl w:ilvl="0">
      <w:start w:val="1"/>
      <w:numFmt w:val="decimal"/>
      <w:lvlText w:val="%1."/>
      <w:lvlJc w:val="left"/>
      <w:pPr>
        <w:ind w:left="1095" w:hanging="720"/>
      </w:pPr>
      <w:rPr>
        <w:rFonts w:ascii="Calibri" w:eastAsia="Calibri" w:hAnsi="Calibri" w:cs="Times New Roman"/>
      </w:rPr>
    </w:lvl>
    <w:lvl w:ilvl="1">
      <w:start w:val="1"/>
      <w:numFmt w:val="decimal"/>
      <w:lvlText w:val="%1.%2"/>
      <w:lvlJc w:val="left"/>
      <w:pPr>
        <w:ind w:left="1815" w:hanging="720"/>
      </w:pPr>
      <w:rPr>
        <w:rFonts w:hint="default"/>
      </w:rPr>
    </w:lvl>
    <w:lvl w:ilvl="2">
      <w:start w:val="1"/>
      <w:numFmt w:val="decimal"/>
      <w:lvlText w:val="%1.%2.%3"/>
      <w:lvlJc w:val="left"/>
      <w:pPr>
        <w:ind w:left="2535" w:hanging="720"/>
      </w:pPr>
      <w:rPr>
        <w:rFonts w:hint="default"/>
      </w:rPr>
    </w:lvl>
    <w:lvl w:ilvl="3">
      <w:start w:val="1"/>
      <w:numFmt w:val="decimal"/>
      <w:lvlText w:val="%1.%2.%3.%4"/>
      <w:lvlJc w:val="left"/>
      <w:pPr>
        <w:ind w:left="3615" w:hanging="1080"/>
      </w:pPr>
      <w:rPr>
        <w:rFonts w:hint="default"/>
      </w:rPr>
    </w:lvl>
    <w:lvl w:ilvl="4">
      <w:start w:val="1"/>
      <w:numFmt w:val="decimal"/>
      <w:lvlText w:val="%1.%2.%3.%4.%5"/>
      <w:lvlJc w:val="left"/>
      <w:pPr>
        <w:ind w:left="4695" w:hanging="144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495" w:hanging="1800"/>
      </w:pPr>
      <w:rPr>
        <w:rFonts w:hint="default"/>
      </w:rPr>
    </w:lvl>
    <w:lvl w:ilvl="7">
      <w:start w:val="1"/>
      <w:numFmt w:val="decimal"/>
      <w:lvlText w:val="%1.%2.%3.%4.%5.%6.%7.%8"/>
      <w:lvlJc w:val="left"/>
      <w:pPr>
        <w:ind w:left="7575" w:hanging="2160"/>
      </w:pPr>
      <w:rPr>
        <w:rFonts w:hint="default"/>
      </w:rPr>
    </w:lvl>
    <w:lvl w:ilvl="8">
      <w:start w:val="1"/>
      <w:numFmt w:val="decimal"/>
      <w:lvlText w:val="%1.%2.%3.%4.%5.%6.%7.%8.%9"/>
      <w:lvlJc w:val="left"/>
      <w:pPr>
        <w:ind w:left="8295" w:hanging="2160"/>
      </w:pPr>
      <w:rPr>
        <w:rFonts w:hint="default"/>
      </w:rPr>
    </w:lvl>
  </w:abstractNum>
  <w:abstractNum w:abstractNumId="7" w15:restartNumberingAfterBreak="0">
    <w:nsid w:val="24FB5BC3"/>
    <w:multiLevelType w:val="hybridMultilevel"/>
    <w:tmpl w:val="2F38D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DE22F9"/>
    <w:multiLevelType w:val="hybridMultilevel"/>
    <w:tmpl w:val="17BCC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230C4B"/>
    <w:multiLevelType w:val="multilevel"/>
    <w:tmpl w:val="4F223CF2"/>
    <w:lvl w:ilvl="0">
      <w:start w:val="1"/>
      <w:numFmt w:val="decimal"/>
      <w:lvlText w:val="%1."/>
      <w:lvlJc w:val="left"/>
      <w:pPr>
        <w:ind w:left="1095" w:hanging="720"/>
      </w:pPr>
      <w:rPr>
        <w:rFonts w:ascii="Calibri" w:eastAsia="Calibri" w:hAnsi="Calibri" w:cs="Times New Roman"/>
      </w:rPr>
    </w:lvl>
    <w:lvl w:ilvl="1">
      <w:start w:val="1"/>
      <w:numFmt w:val="decimal"/>
      <w:lvlText w:val="%1.%2"/>
      <w:lvlJc w:val="left"/>
      <w:pPr>
        <w:ind w:left="1815" w:hanging="720"/>
      </w:pPr>
      <w:rPr>
        <w:rFonts w:hint="default"/>
      </w:rPr>
    </w:lvl>
    <w:lvl w:ilvl="2">
      <w:start w:val="1"/>
      <w:numFmt w:val="decimal"/>
      <w:lvlText w:val="%1.%2.%3"/>
      <w:lvlJc w:val="left"/>
      <w:pPr>
        <w:ind w:left="2535" w:hanging="720"/>
      </w:pPr>
      <w:rPr>
        <w:rFonts w:hint="default"/>
      </w:rPr>
    </w:lvl>
    <w:lvl w:ilvl="3">
      <w:start w:val="1"/>
      <w:numFmt w:val="decimal"/>
      <w:lvlText w:val="%1.%2.%3.%4"/>
      <w:lvlJc w:val="left"/>
      <w:pPr>
        <w:ind w:left="3615" w:hanging="1080"/>
      </w:pPr>
      <w:rPr>
        <w:rFonts w:hint="default"/>
      </w:rPr>
    </w:lvl>
    <w:lvl w:ilvl="4">
      <w:start w:val="1"/>
      <w:numFmt w:val="decimal"/>
      <w:lvlText w:val="%1.%2.%3.%4.%5"/>
      <w:lvlJc w:val="left"/>
      <w:pPr>
        <w:ind w:left="4695" w:hanging="144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495" w:hanging="1800"/>
      </w:pPr>
      <w:rPr>
        <w:rFonts w:hint="default"/>
      </w:rPr>
    </w:lvl>
    <w:lvl w:ilvl="7">
      <w:start w:val="1"/>
      <w:numFmt w:val="decimal"/>
      <w:lvlText w:val="%1.%2.%3.%4.%5.%6.%7.%8"/>
      <w:lvlJc w:val="left"/>
      <w:pPr>
        <w:ind w:left="7575" w:hanging="2160"/>
      </w:pPr>
      <w:rPr>
        <w:rFonts w:hint="default"/>
      </w:rPr>
    </w:lvl>
    <w:lvl w:ilvl="8">
      <w:start w:val="1"/>
      <w:numFmt w:val="decimal"/>
      <w:lvlText w:val="%1.%2.%3.%4.%5.%6.%7.%8.%9"/>
      <w:lvlJc w:val="left"/>
      <w:pPr>
        <w:ind w:left="8295" w:hanging="2160"/>
      </w:pPr>
      <w:rPr>
        <w:rFonts w:hint="default"/>
      </w:rPr>
    </w:lvl>
  </w:abstractNum>
  <w:abstractNum w:abstractNumId="10" w15:restartNumberingAfterBreak="0">
    <w:nsid w:val="329111D2"/>
    <w:multiLevelType w:val="multilevel"/>
    <w:tmpl w:val="B992C0F4"/>
    <w:lvl w:ilvl="0">
      <w:start w:val="3"/>
      <w:numFmt w:val="decimal"/>
      <w:lvlText w:val="%1.0"/>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15:restartNumberingAfterBreak="0">
    <w:nsid w:val="32B17CFB"/>
    <w:multiLevelType w:val="hybridMultilevel"/>
    <w:tmpl w:val="FDD22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5434FD"/>
    <w:multiLevelType w:val="hybridMultilevel"/>
    <w:tmpl w:val="3990D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176DD1"/>
    <w:multiLevelType w:val="hybridMultilevel"/>
    <w:tmpl w:val="8A28C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52539F"/>
    <w:multiLevelType w:val="hybridMultilevel"/>
    <w:tmpl w:val="61DEE5F8"/>
    <w:lvl w:ilvl="0" w:tplc="08090001">
      <w:start w:val="1"/>
      <w:numFmt w:val="bullet"/>
      <w:lvlText w:val=""/>
      <w:lvlJc w:val="left"/>
      <w:pPr>
        <w:ind w:left="677" w:hanging="360"/>
      </w:pPr>
      <w:rPr>
        <w:rFonts w:ascii="Symbol" w:hAnsi="Symbol" w:hint="default"/>
      </w:rPr>
    </w:lvl>
    <w:lvl w:ilvl="1" w:tplc="08090003" w:tentative="1">
      <w:start w:val="1"/>
      <w:numFmt w:val="bullet"/>
      <w:lvlText w:val="o"/>
      <w:lvlJc w:val="left"/>
      <w:pPr>
        <w:ind w:left="1397" w:hanging="360"/>
      </w:pPr>
      <w:rPr>
        <w:rFonts w:ascii="Courier New" w:hAnsi="Courier New" w:cs="Courier New" w:hint="default"/>
      </w:rPr>
    </w:lvl>
    <w:lvl w:ilvl="2" w:tplc="08090005" w:tentative="1">
      <w:start w:val="1"/>
      <w:numFmt w:val="bullet"/>
      <w:lvlText w:val=""/>
      <w:lvlJc w:val="left"/>
      <w:pPr>
        <w:ind w:left="2117" w:hanging="360"/>
      </w:pPr>
      <w:rPr>
        <w:rFonts w:ascii="Wingdings" w:hAnsi="Wingdings" w:hint="default"/>
      </w:rPr>
    </w:lvl>
    <w:lvl w:ilvl="3" w:tplc="08090001" w:tentative="1">
      <w:start w:val="1"/>
      <w:numFmt w:val="bullet"/>
      <w:lvlText w:val=""/>
      <w:lvlJc w:val="left"/>
      <w:pPr>
        <w:ind w:left="2837" w:hanging="360"/>
      </w:pPr>
      <w:rPr>
        <w:rFonts w:ascii="Symbol" w:hAnsi="Symbol" w:hint="default"/>
      </w:rPr>
    </w:lvl>
    <w:lvl w:ilvl="4" w:tplc="08090003" w:tentative="1">
      <w:start w:val="1"/>
      <w:numFmt w:val="bullet"/>
      <w:lvlText w:val="o"/>
      <w:lvlJc w:val="left"/>
      <w:pPr>
        <w:ind w:left="3557" w:hanging="360"/>
      </w:pPr>
      <w:rPr>
        <w:rFonts w:ascii="Courier New" w:hAnsi="Courier New" w:cs="Courier New" w:hint="default"/>
      </w:rPr>
    </w:lvl>
    <w:lvl w:ilvl="5" w:tplc="08090005" w:tentative="1">
      <w:start w:val="1"/>
      <w:numFmt w:val="bullet"/>
      <w:lvlText w:val=""/>
      <w:lvlJc w:val="left"/>
      <w:pPr>
        <w:ind w:left="4277" w:hanging="360"/>
      </w:pPr>
      <w:rPr>
        <w:rFonts w:ascii="Wingdings" w:hAnsi="Wingdings" w:hint="default"/>
      </w:rPr>
    </w:lvl>
    <w:lvl w:ilvl="6" w:tplc="08090001" w:tentative="1">
      <w:start w:val="1"/>
      <w:numFmt w:val="bullet"/>
      <w:lvlText w:val=""/>
      <w:lvlJc w:val="left"/>
      <w:pPr>
        <w:ind w:left="4997" w:hanging="360"/>
      </w:pPr>
      <w:rPr>
        <w:rFonts w:ascii="Symbol" w:hAnsi="Symbol" w:hint="default"/>
      </w:rPr>
    </w:lvl>
    <w:lvl w:ilvl="7" w:tplc="08090003" w:tentative="1">
      <w:start w:val="1"/>
      <w:numFmt w:val="bullet"/>
      <w:lvlText w:val="o"/>
      <w:lvlJc w:val="left"/>
      <w:pPr>
        <w:ind w:left="5717" w:hanging="360"/>
      </w:pPr>
      <w:rPr>
        <w:rFonts w:ascii="Courier New" w:hAnsi="Courier New" w:cs="Courier New" w:hint="default"/>
      </w:rPr>
    </w:lvl>
    <w:lvl w:ilvl="8" w:tplc="08090005" w:tentative="1">
      <w:start w:val="1"/>
      <w:numFmt w:val="bullet"/>
      <w:lvlText w:val=""/>
      <w:lvlJc w:val="left"/>
      <w:pPr>
        <w:ind w:left="6437" w:hanging="360"/>
      </w:pPr>
      <w:rPr>
        <w:rFonts w:ascii="Wingdings" w:hAnsi="Wingdings" w:hint="default"/>
      </w:rPr>
    </w:lvl>
  </w:abstractNum>
  <w:abstractNum w:abstractNumId="15" w15:restartNumberingAfterBreak="0">
    <w:nsid w:val="3EE76EFC"/>
    <w:multiLevelType w:val="hybridMultilevel"/>
    <w:tmpl w:val="0744301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425B5515"/>
    <w:multiLevelType w:val="multilevel"/>
    <w:tmpl w:val="4F223CF2"/>
    <w:lvl w:ilvl="0">
      <w:start w:val="1"/>
      <w:numFmt w:val="decimal"/>
      <w:lvlText w:val="%1."/>
      <w:lvlJc w:val="left"/>
      <w:pPr>
        <w:ind w:left="1095" w:hanging="720"/>
      </w:pPr>
      <w:rPr>
        <w:rFonts w:ascii="Calibri" w:eastAsia="Calibri" w:hAnsi="Calibri" w:cs="Times New Roman"/>
      </w:rPr>
    </w:lvl>
    <w:lvl w:ilvl="1">
      <w:start w:val="1"/>
      <w:numFmt w:val="decimal"/>
      <w:lvlText w:val="%1.%2"/>
      <w:lvlJc w:val="left"/>
      <w:pPr>
        <w:ind w:left="1815" w:hanging="720"/>
      </w:pPr>
      <w:rPr>
        <w:rFonts w:hint="default"/>
      </w:rPr>
    </w:lvl>
    <w:lvl w:ilvl="2">
      <w:start w:val="1"/>
      <w:numFmt w:val="decimal"/>
      <w:lvlText w:val="%1.%2.%3"/>
      <w:lvlJc w:val="left"/>
      <w:pPr>
        <w:ind w:left="2535" w:hanging="720"/>
      </w:pPr>
      <w:rPr>
        <w:rFonts w:hint="default"/>
      </w:rPr>
    </w:lvl>
    <w:lvl w:ilvl="3">
      <w:start w:val="1"/>
      <w:numFmt w:val="decimal"/>
      <w:lvlText w:val="%1.%2.%3.%4"/>
      <w:lvlJc w:val="left"/>
      <w:pPr>
        <w:ind w:left="3615" w:hanging="1080"/>
      </w:pPr>
      <w:rPr>
        <w:rFonts w:hint="default"/>
      </w:rPr>
    </w:lvl>
    <w:lvl w:ilvl="4">
      <w:start w:val="1"/>
      <w:numFmt w:val="decimal"/>
      <w:lvlText w:val="%1.%2.%3.%4.%5"/>
      <w:lvlJc w:val="left"/>
      <w:pPr>
        <w:ind w:left="4695" w:hanging="144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495" w:hanging="1800"/>
      </w:pPr>
      <w:rPr>
        <w:rFonts w:hint="default"/>
      </w:rPr>
    </w:lvl>
    <w:lvl w:ilvl="7">
      <w:start w:val="1"/>
      <w:numFmt w:val="decimal"/>
      <w:lvlText w:val="%1.%2.%3.%4.%5.%6.%7.%8"/>
      <w:lvlJc w:val="left"/>
      <w:pPr>
        <w:ind w:left="7575" w:hanging="2160"/>
      </w:pPr>
      <w:rPr>
        <w:rFonts w:hint="default"/>
      </w:rPr>
    </w:lvl>
    <w:lvl w:ilvl="8">
      <w:start w:val="1"/>
      <w:numFmt w:val="decimal"/>
      <w:lvlText w:val="%1.%2.%3.%4.%5.%6.%7.%8.%9"/>
      <w:lvlJc w:val="left"/>
      <w:pPr>
        <w:ind w:left="8295" w:hanging="2160"/>
      </w:pPr>
      <w:rPr>
        <w:rFonts w:hint="default"/>
      </w:rPr>
    </w:lvl>
  </w:abstractNum>
  <w:abstractNum w:abstractNumId="17" w15:restartNumberingAfterBreak="0">
    <w:nsid w:val="427B2B44"/>
    <w:multiLevelType w:val="hybridMultilevel"/>
    <w:tmpl w:val="C3E6C838"/>
    <w:lvl w:ilvl="0" w:tplc="AD203EE0">
      <w:start w:val="1"/>
      <w:numFmt w:val="decimal"/>
      <w:lvlText w:val="%1."/>
      <w:lvlJc w:val="left"/>
      <w:pPr>
        <w:tabs>
          <w:tab w:val="num" w:pos="0"/>
        </w:tabs>
        <w:ind w:left="360" w:hanging="360"/>
      </w:pPr>
      <w:rPr>
        <w:rFonts w:ascii="Arial" w:hAnsi="Arial" w:cs="Times New Roman" w:hint="default"/>
        <w:b/>
        <w:bCs/>
        <w:i w:val="0"/>
        <w:iCs w:val="0"/>
        <w:sz w:val="22"/>
        <w:szCs w:val="2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45B8661F"/>
    <w:multiLevelType w:val="hybridMultilevel"/>
    <w:tmpl w:val="D52ECD80"/>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48B9299E"/>
    <w:multiLevelType w:val="multilevel"/>
    <w:tmpl w:val="A404DD2C"/>
    <w:lvl w:ilvl="0">
      <w:start w:val="1"/>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4B0E1420"/>
    <w:multiLevelType w:val="hybridMultilevel"/>
    <w:tmpl w:val="7B3E9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9B665F"/>
    <w:multiLevelType w:val="hybridMultilevel"/>
    <w:tmpl w:val="3F4A5932"/>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5002240E"/>
    <w:multiLevelType w:val="hybridMultilevel"/>
    <w:tmpl w:val="E318A376"/>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5317702A"/>
    <w:multiLevelType w:val="multilevel"/>
    <w:tmpl w:val="8DAEDAC2"/>
    <w:lvl w:ilvl="0">
      <w:start w:val="6"/>
      <w:numFmt w:val="decimal"/>
      <w:lvlText w:val="%1.0"/>
      <w:lvlJc w:val="left"/>
      <w:pPr>
        <w:ind w:left="1095" w:hanging="720"/>
      </w:pPr>
      <w:rPr>
        <w:rFonts w:hint="default"/>
      </w:rPr>
    </w:lvl>
    <w:lvl w:ilvl="1">
      <w:start w:val="1"/>
      <w:numFmt w:val="decimal"/>
      <w:lvlText w:val="%1.%2"/>
      <w:lvlJc w:val="left"/>
      <w:pPr>
        <w:ind w:left="1815" w:hanging="720"/>
      </w:pPr>
      <w:rPr>
        <w:rFonts w:hint="default"/>
      </w:rPr>
    </w:lvl>
    <w:lvl w:ilvl="2">
      <w:start w:val="1"/>
      <w:numFmt w:val="decimal"/>
      <w:lvlText w:val="%1.%2.%3"/>
      <w:lvlJc w:val="left"/>
      <w:pPr>
        <w:ind w:left="2535" w:hanging="720"/>
      </w:pPr>
      <w:rPr>
        <w:rFonts w:hint="default"/>
      </w:rPr>
    </w:lvl>
    <w:lvl w:ilvl="3">
      <w:start w:val="1"/>
      <w:numFmt w:val="decimal"/>
      <w:lvlText w:val="%1.%2.%3.%4"/>
      <w:lvlJc w:val="left"/>
      <w:pPr>
        <w:ind w:left="3615" w:hanging="1080"/>
      </w:pPr>
      <w:rPr>
        <w:rFonts w:hint="default"/>
      </w:rPr>
    </w:lvl>
    <w:lvl w:ilvl="4">
      <w:start w:val="1"/>
      <w:numFmt w:val="decimal"/>
      <w:lvlText w:val="%1.%2.%3.%4.%5"/>
      <w:lvlJc w:val="left"/>
      <w:pPr>
        <w:ind w:left="4695" w:hanging="144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495" w:hanging="1800"/>
      </w:pPr>
      <w:rPr>
        <w:rFonts w:hint="default"/>
      </w:rPr>
    </w:lvl>
    <w:lvl w:ilvl="7">
      <w:start w:val="1"/>
      <w:numFmt w:val="decimal"/>
      <w:lvlText w:val="%1.%2.%3.%4.%5.%6.%7.%8"/>
      <w:lvlJc w:val="left"/>
      <w:pPr>
        <w:ind w:left="7575" w:hanging="2160"/>
      </w:pPr>
      <w:rPr>
        <w:rFonts w:hint="default"/>
      </w:rPr>
    </w:lvl>
    <w:lvl w:ilvl="8">
      <w:start w:val="1"/>
      <w:numFmt w:val="decimal"/>
      <w:lvlText w:val="%1.%2.%3.%4.%5.%6.%7.%8.%9"/>
      <w:lvlJc w:val="left"/>
      <w:pPr>
        <w:ind w:left="8295" w:hanging="2160"/>
      </w:pPr>
      <w:rPr>
        <w:rFonts w:hint="default"/>
      </w:rPr>
    </w:lvl>
  </w:abstractNum>
  <w:abstractNum w:abstractNumId="24" w15:restartNumberingAfterBreak="0">
    <w:nsid w:val="56664BF0"/>
    <w:multiLevelType w:val="hybridMultilevel"/>
    <w:tmpl w:val="827419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71B6D0F"/>
    <w:multiLevelType w:val="hybridMultilevel"/>
    <w:tmpl w:val="408A6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28F5918"/>
    <w:multiLevelType w:val="multilevel"/>
    <w:tmpl w:val="4F223CF2"/>
    <w:lvl w:ilvl="0">
      <w:start w:val="1"/>
      <w:numFmt w:val="decimal"/>
      <w:lvlText w:val="%1."/>
      <w:lvlJc w:val="left"/>
      <w:pPr>
        <w:ind w:left="1095" w:hanging="720"/>
      </w:pPr>
      <w:rPr>
        <w:rFonts w:ascii="Calibri" w:eastAsia="Calibri" w:hAnsi="Calibri" w:cs="Times New Roman"/>
      </w:rPr>
    </w:lvl>
    <w:lvl w:ilvl="1">
      <w:start w:val="1"/>
      <w:numFmt w:val="decimal"/>
      <w:lvlText w:val="%1.%2"/>
      <w:lvlJc w:val="left"/>
      <w:pPr>
        <w:ind w:left="1815" w:hanging="720"/>
      </w:pPr>
      <w:rPr>
        <w:rFonts w:hint="default"/>
      </w:rPr>
    </w:lvl>
    <w:lvl w:ilvl="2">
      <w:start w:val="1"/>
      <w:numFmt w:val="decimal"/>
      <w:lvlText w:val="%1.%2.%3"/>
      <w:lvlJc w:val="left"/>
      <w:pPr>
        <w:ind w:left="2535" w:hanging="720"/>
      </w:pPr>
      <w:rPr>
        <w:rFonts w:hint="default"/>
      </w:rPr>
    </w:lvl>
    <w:lvl w:ilvl="3">
      <w:start w:val="1"/>
      <w:numFmt w:val="decimal"/>
      <w:lvlText w:val="%1.%2.%3.%4"/>
      <w:lvlJc w:val="left"/>
      <w:pPr>
        <w:ind w:left="3615" w:hanging="1080"/>
      </w:pPr>
      <w:rPr>
        <w:rFonts w:hint="default"/>
      </w:rPr>
    </w:lvl>
    <w:lvl w:ilvl="4">
      <w:start w:val="1"/>
      <w:numFmt w:val="decimal"/>
      <w:lvlText w:val="%1.%2.%3.%4.%5"/>
      <w:lvlJc w:val="left"/>
      <w:pPr>
        <w:ind w:left="4695" w:hanging="144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495" w:hanging="1800"/>
      </w:pPr>
      <w:rPr>
        <w:rFonts w:hint="default"/>
      </w:rPr>
    </w:lvl>
    <w:lvl w:ilvl="7">
      <w:start w:val="1"/>
      <w:numFmt w:val="decimal"/>
      <w:lvlText w:val="%1.%2.%3.%4.%5.%6.%7.%8"/>
      <w:lvlJc w:val="left"/>
      <w:pPr>
        <w:ind w:left="7575" w:hanging="2160"/>
      </w:pPr>
      <w:rPr>
        <w:rFonts w:hint="default"/>
      </w:rPr>
    </w:lvl>
    <w:lvl w:ilvl="8">
      <w:start w:val="1"/>
      <w:numFmt w:val="decimal"/>
      <w:lvlText w:val="%1.%2.%3.%4.%5.%6.%7.%8.%9"/>
      <w:lvlJc w:val="left"/>
      <w:pPr>
        <w:ind w:left="8295" w:hanging="2160"/>
      </w:pPr>
      <w:rPr>
        <w:rFonts w:hint="default"/>
      </w:rPr>
    </w:lvl>
  </w:abstractNum>
  <w:abstractNum w:abstractNumId="27" w15:restartNumberingAfterBreak="0">
    <w:nsid w:val="63F46278"/>
    <w:multiLevelType w:val="hybridMultilevel"/>
    <w:tmpl w:val="67E897D8"/>
    <w:lvl w:ilvl="0" w:tplc="08090011">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8" w15:restartNumberingAfterBreak="0">
    <w:nsid w:val="724046A2"/>
    <w:multiLevelType w:val="hybridMultilevel"/>
    <w:tmpl w:val="FC9A4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2D07BE"/>
    <w:multiLevelType w:val="multilevel"/>
    <w:tmpl w:val="4F223CF2"/>
    <w:lvl w:ilvl="0">
      <w:start w:val="1"/>
      <w:numFmt w:val="decimal"/>
      <w:lvlText w:val="%1."/>
      <w:lvlJc w:val="left"/>
      <w:pPr>
        <w:ind w:left="1095" w:hanging="720"/>
      </w:pPr>
      <w:rPr>
        <w:rFonts w:ascii="Calibri" w:eastAsia="Calibri" w:hAnsi="Calibri" w:cs="Times New Roman"/>
      </w:rPr>
    </w:lvl>
    <w:lvl w:ilvl="1">
      <w:start w:val="1"/>
      <w:numFmt w:val="decimal"/>
      <w:lvlText w:val="%1.%2"/>
      <w:lvlJc w:val="left"/>
      <w:pPr>
        <w:ind w:left="1815" w:hanging="720"/>
      </w:pPr>
      <w:rPr>
        <w:rFonts w:hint="default"/>
      </w:rPr>
    </w:lvl>
    <w:lvl w:ilvl="2">
      <w:start w:val="1"/>
      <w:numFmt w:val="decimal"/>
      <w:lvlText w:val="%1.%2.%3"/>
      <w:lvlJc w:val="left"/>
      <w:pPr>
        <w:ind w:left="2535" w:hanging="720"/>
      </w:pPr>
      <w:rPr>
        <w:rFonts w:hint="default"/>
      </w:rPr>
    </w:lvl>
    <w:lvl w:ilvl="3">
      <w:start w:val="1"/>
      <w:numFmt w:val="decimal"/>
      <w:lvlText w:val="%1.%2.%3.%4"/>
      <w:lvlJc w:val="left"/>
      <w:pPr>
        <w:ind w:left="3615" w:hanging="1080"/>
      </w:pPr>
      <w:rPr>
        <w:rFonts w:hint="default"/>
      </w:rPr>
    </w:lvl>
    <w:lvl w:ilvl="4">
      <w:start w:val="1"/>
      <w:numFmt w:val="decimal"/>
      <w:lvlText w:val="%1.%2.%3.%4.%5"/>
      <w:lvlJc w:val="left"/>
      <w:pPr>
        <w:ind w:left="4695" w:hanging="144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495" w:hanging="1800"/>
      </w:pPr>
      <w:rPr>
        <w:rFonts w:hint="default"/>
      </w:rPr>
    </w:lvl>
    <w:lvl w:ilvl="7">
      <w:start w:val="1"/>
      <w:numFmt w:val="decimal"/>
      <w:lvlText w:val="%1.%2.%3.%4.%5.%6.%7.%8"/>
      <w:lvlJc w:val="left"/>
      <w:pPr>
        <w:ind w:left="7575" w:hanging="2160"/>
      </w:pPr>
      <w:rPr>
        <w:rFonts w:hint="default"/>
      </w:rPr>
    </w:lvl>
    <w:lvl w:ilvl="8">
      <w:start w:val="1"/>
      <w:numFmt w:val="decimal"/>
      <w:lvlText w:val="%1.%2.%3.%4.%5.%6.%7.%8.%9"/>
      <w:lvlJc w:val="left"/>
      <w:pPr>
        <w:ind w:left="8295" w:hanging="2160"/>
      </w:pPr>
      <w:rPr>
        <w:rFonts w:hint="default"/>
      </w:rPr>
    </w:lvl>
  </w:abstractNum>
  <w:abstractNum w:abstractNumId="30" w15:restartNumberingAfterBreak="0">
    <w:nsid w:val="79FF09A2"/>
    <w:multiLevelType w:val="hybridMultilevel"/>
    <w:tmpl w:val="881E5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23464A"/>
    <w:multiLevelType w:val="multilevel"/>
    <w:tmpl w:val="8F509B26"/>
    <w:lvl w:ilvl="0">
      <w:start w:val="1"/>
      <w:numFmt w:val="decimal"/>
      <w:lvlText w:val="%1.0"/>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2" w15:restartNumberingAfterBreak="0">
    <w:nsid w:val="7BA3756C"/>
    <w:multiLevelType w:val="hybridMultilevel"/>
    <w:tmpl w:val="0616D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48506B"/>
    <w:multiLevelType w:val="multilevel"/>
    <w:tmpl w:val="4F223CF2"/>
    <w:lvl w:ilvl="0">
      <w:start w:val="1"/>
      <w:numFmt w:val="decimal"/>
      <w:lvlText w:val="%1."/>
      <w:lvlJc w:val="left"/>
      <w:pPr>
        <w:ind w:left="1095" w:hanging="720"/>
      </w:pPr>
      <w:rPr>
        <w:rFonts w:ascii="Calibri" w:eastAsia="Calibri" w:hAnsi="Calibri" w:cs="Times New Roman"/>
      </w:rPr>
    </w:lvl>
    <w:lvl w:ilvl="1">
      <w:start w:val="1"/>
      <w:numFmt w:val="decimal"/>
      <w:lvlText w:val="%1.%2"/>
      <w:lvlJc w:val="left"/>
      <w:pPr>
        <w:ind w:left="1815" w:hanging="720"/>
      </w:pPr>
      <w:rPr>
        <w:rFonts w:hint="default"/>
      </w:rPr>
    </w:lvl>
    <w:lvl w:ilvl="2">
      <w:start w:val="1"/>
      <w:numFmt w:val="decimal"/>
      <w:lvlText w:val="%1.%2.%3"/>
      <w:lvlJc w:val="left"/>
      <w:pPr>
        <w:ind w:left="2535" w:hanging="720"/>
      </w:pPr>
      <w:rPr>
        <w:rFonts w:hint="default"/>
      </w:rPr>
    </w:lvl>
    <w:lvl w:ilvl="3">
      <w:start w:val="1"/>
      <w:numFmt w:val="decimal"/>
      <w:lvlText w:val="%1.%2.%3.%4"/>
      <w:lvlJc w:val="left"/>
      <w:pPr>
        <w:ind w:left="3615" w:hanging="1080"/>
      </w:pPr>
      <w:rPr>
        <w:rFonts w:hint="default"/>
      </w:rPr>
    </w:lvl>
    <w:lvl w:ilvl="4">
      <w:start w:val="1"/>
      <w:numFmt w:val="decimal"/>
      <w:lvlText w:val="%1.%2.%3.%4.%5"/>
      <w:lvlJc w:val="left"/>
      <w:pPr>
        <w:ind w:left="4695" w:hanging="144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495" w:hanging="1800"/>
      </w:pPr>
      <w:rPr>
        <w:rFonts w:hint="default"/>
      </w:rPr>
    </w:lvl>
    <w:lvl w:ilvl="7">
      <w:start w:val="1"/>
      <w:numFmt w:val="decimal"/>
      <w:lvlText w:val="%1.%2.%3.%4.%5.%6.%7.%8"/>
      <w:lvlJc w:val="left"/>
      <w:pPr>
        <w:ind w:left="7575" w:hanging="2160"/>
      </w:pPr>
      <w:rPr>
        <w:rFonts w:hint="default"/>
      </w:rPr>
    </w:lvl>
    <w:lvl w:ilvl="8">
      <w:start w:val="1"/>
      <w:numFmt w:val="decimal"/>
      <w:lvlText w:val="%1.%2.%3.%4.%5.%6.%7.%8.%9"/>
      <w:lvlJc w:val="left"/>
      <w:pPr>
        <w:ind w:left="8295" w:hanging="2160"/>
      </w:pPr>
      <w:rPr>
        <w:rFonts w:hint="default"/>
      </w:rPr>
    </w:lvl>
  </w:abstractNum>
  <w:num w:numId="1">
    <w:abstractNumId w:val="25"/>
  </w:num>
  <w:num w:numId="2">
    <w:abstractNumId w:val="31"/>
  </w:num>
  <w:num w:numId="3">
    <w:abstractNumId w:val="10"/>
  </w:num>
  <w:num w:numId="4">
    <w:abstractNumId w:val="20"/>
  </w:num>
  <w:num w:numId="5">
    <w:abstractNumId w:val="7"/>
  </w:num>
  <w:num w:numId="6">
    <w:abstractNumId w:val="3"/>
  </w:num>
  <w:num w:numId="7">
    <w:abstractNumId w:val="32"/>
  </w:num>
  <w:num w:numId="8">
    <w:abstractNumId w:val="17"/>
  </w:num>
  <w:num w:numId="9">
    <w:abstractNumId w:val="15"/>
  </w:num>
  <w:num w:numId="10">
    <w:abstractNumId w:val="18"/>
  </w:num>
  <w:num w:numId="11">
    <w:abstractNumId w:val="22"/>
  </w:num>
  <w:num w:numId="12">
    <w:abstractNumId w:val="27"/>
  </w:num>
  <w:num w:numId="13">
    <w:abstractNumId w:val="2"/>
  </w:num>
  <w:num w:numId="14">
    <w:abstractNumId w:val="4"/>
  </w:num>
  <w:num w:numId="15">
    <w:abstractNumId w:val="21"/>
  </w:num>
  <w:num w:numId="16">
    <w:abstractNumId w:val="5"/>
  </w:num>
  <w:num w:numId="17">
    <w:abstractNumId w:val="24"/>
  </w:num>
  <w:num w:numId="18">
    <w:abstractNumId w:val="11"/>
  </w:num>
  <w:num w:numId="19">
    <w:abstractNumId w:val="13"/>
  </w:num>
  <w:num w:numId="20">
    <w:abstractNumId w:val="12"/>
  </w:num>
  <w:num w:numId="21">
    <w:abstractNumId w:val="30"/>
  </w:num>
  <w:num w:numId="22">
    <w:abstractNumId w:val="0"/>
  </w:num>
  <w:num w:numId="23">
    <w:abstractNumId w:val="8"/>
  </w:num>
  <w:num w:numId="24">
    <w:abstractNumId w:val="28"/>
  </w:num>
  <w:num w:numId="25">
    <w:abstractNumId w:val="14"/>
  </w:num>
  <w:num w:numId="26">
    <w:abstractNumId w:val="19"/>
  </w:num>
  <w:num w:numId="27">
    <w:abstractNumId w:val="23"/>
  </w:num>
  <w:num w:numId="28">
    <w:abstractNumId w:val="6"/>
  </w:num>
  <w:num w:numId="29">
    <w:abstractNumId w:val="29"/>
  </w:num>
  <w:num w:numId="30">
    <w:abstractNumId w:val="16"/>
  </w:num>
  <w:num w:numId="31">
    <w:abstractNumId w:val="33"/>
  </w:num>
  <w:num w:numId="32">
    <w:abstractNumId w:val="9"/>
  </w:num>
  <w:num w:numId="33">
    <w:abstractNumId w:val="26"/>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drawingGridHorizontalSpacing w:val="108"/>
  <w:drawingGridVerticalSpacing w:val="181"/>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3ED"/>
    <w:rsid w:val="00017AD2"/>
    <w:rsid w:val="000212CE"/>
    <w:rsid w:val="00021941"/>
    <w:rsid w:val="0002458E"/>
    <w:rsid w:val="00031532"/>
    <w:rsid w:val="000534A9"/>
    <w:rsid w:val="0009798F"/>
    <w:rsid w:val="000A1766"/>
    <w:rsid w:val="0010305B"/>
    <w:rsid w:val="00115241"/>
    <w:rsid w:val="00125196"/>
    <w:rsid w:val="00133E33"/>
    <w:rsid w:val="001449BF"/>
    <w:rsid w:val="001526BA"/>
    <w:rsid w:val="001529F8"/>
    <w:rsid w:val="00174AC9"/>
    <w:rsid w:val="00174D45"/>
    <w:rsid w:val="001A3331"/>
    <w:rsid w:val="001B1D29"/>
    <w:rsid w:val="00262C6A"/>
    <w:rsid w:val="00264192"/>
    <w:rsid w:val="002773FB"/>
    <w:rsid w:val="00282578"/>
    <w:rsid w:val="00296221"/>
    <w:rsid w:val="002A512F"/>
    <w:rsid w:val="002B4619"/>
    <w:rsid w:val="002D386E"/>
    <w:rsid w:val="002D5893"/>
    <w:rsid w:val="0031620D"/>
    <w:rsid w:val="00321B6C"/>
    <w:rsid w:val="0034681B"/>
    <w:rsid w:val="0035405E"/>
    <w:rsid w:val="003558FF"/>
    <w:rsid w:val="00356068"/>
    <w:rsid w:val="00365EF3"/>
    <w:rsid w:val="00371760"/>
    <w:rsid w:val="003819D2"/>
    <w:rsid w:val="00393299"/>
    <w:rsid w:val="003A007C"/>
    <w:rsid w:val="003A688B"/>
    <w:rsid w:val="003D07A5"/>
    <w:rsid w:val="003E30F7"/>
    <w:rsid w:val="004074A4"/>
    <w:rsid w:val="00414014"/>
    <w:rsid w:val="00435CAB"/>
    <w:rsid w:val="00452C8C"/>
    <w:rsid w:val="00470329"/>
    <w:rsid w:val="00493074"/>
    <w:rsid w:val="00501F52"/>
    <w:rsid w:val="005135C7"/>
    <w:rsid w:val="00530586"/>
    <w:rsid w:val="00553D05"/>
    <w:rsid w:val="0056088D"/>
    <w:rsid w:val="00584DFC"/>
    <w:rsid w:val="0059311F"/>
    <w:rsid w:val="005A3E16"/>
    <w:rsid w:val="005C5406"/>
    <w:rsid w:val="005E75E7"/>
    <w:rsid w:val="005E78DF"/>
    <w:rsid w:val="005F3FEB"/>
    <w:rsid w:val="00623D91"/>
    <w:rsid w:val="00637BF5"/>
    <w:rsid w:val="006729F1"/>
    <w:rsid w:val="0067628C"/>
    <w:rsid w:val="00690479"/>
    <w:rsid w:val="006A0B7B"/>
    <w:rsid w:val="006B3FB7"/>
    <w:rsid w:val="006C40B0"/>
    <w:rsid w:val="006D0F67"/>
    <w:rsid w:val="006D241F"/>
    <w:rsid w:val="006D5C7A"/>
    <w:rsid w:val="006E39A2"/>
    <w:rsid w:val="0070562F"/>
    <w:rsid w:val="007068A3"/>
    <w:rsid w:val="00717B35"/>
    <w:rsid w:val="00740F42"/>
    <w:rsid w:val="00741288"/>
    <w:rsid w:val="00756028"/>
    <w:rsid w:val="00774E7E"/>
    <w:rsid w:val="007754EF"/>
    <w:rsid w:val="0077761E"/>
    <w:rsid w:val="007A3F61"/>
    <w:rsid w:val="007B4F13"/>
    <w:rsid w:val="007B612B"/>
    <w:rsid w:val="007C4A49"/>
    <w:rsid w:val="007E46FB"/>
    <w:rsid w:val="007E6A01"/>
    <w:rsid w:val="007F7DA5"/>
    <w:rsid w:val="00801E39"/>
    <w:rsid w:val="00804C1B"/>
    <w:rsid w:val="00825DFA"/>
    <w:rsid w:val="008613CB"/>
    <w:rsid w:val="008633A9"/>
    <w:rsid w:val="00865F71"/>
    <w:rsid w:val="00866426"/>
    <w:rsid w:val="00867A4E"/>
    <w:rsid w:val="00867FF6"/>
    <w:rsid w:val="00873EA5"/>
    <w:rsid w:val="008A3037"/>
    <w:rsid w:val="008B2885"/>
    <w:rsid w:val="008D2B77"/>
    <w:rsid w:val="00930213"/>
    <w:rsid w:val="0093643A"/>
    <w:rsid w:val="009531D5"/>
    <w:rsid w:val="009668F3"/>
    <w:rsid w:val="00987B22"/>
    <w:rsid w:val="009907D6"/>
    <w:rsid w:val="00992AB6"/>
    <w:rsid w:val="009A34BA"/>
    <w:rsid w:val="009C03ED"/>
    <w:rsid w:val="009D550C"/>
    <w:rsid w:val="00A01A46"/>
    <w:rsid w:val="00A34912"/>
    <w:rsid w:val="00A36ED5"/>
    <w:rsid w:val="00A52102"/>
    <w:rsid w:val="00A56363"/>
    <w:rsid w:val="00AC5CFA"/>
    <w:rsid w:val="00AC7886"/>
    <w:rsid w:val="00AD0462"/>
    <w:rsid w:val="00AF10DA"/>
    <w:rsid w:val="00B06B0B"/>
    <w:rsid w:val="00B15D99"/>
    <w:rsid w:val="00B322D4"/>
    <w:rsid w:val="00B40055"/>
    <w:rsid w:val="00B5378A"/>
    <w:rsid w:val="00B54998"/>
    <w:rsid w:val="00B678BE"/>
    <w:rsid w:val="00B749A5"/>
    <w:rsid w:val="00B87F80"/>
    <w:rsid w:val="00BA0FAC"/>
    <w:rsid w:val="00BB783F"/>
    <w:rsid w:val="00BD600C"/>
    <w:rsid w:val="00BD6EE2"/>
    <w:rsid w:val="00BE2946"/>
    <w:rsid w:val="00C23D62"/>
    <w:rsid w:val="00C472AC"/>
    <w:rsid w:val="00C87B55"/>
    <w:rsid w:val="00C970F9"/>
    <w:rsid w:val="00CC66C2"/>
    <w:rsid w:val="00CE229A"/>
    <w:rsid w:val="00CF26F8"/>
    <w:rsid w:val="00D02F81"/>
    <w:rsid w:val="00D05161"/>
    <w:rsid w:val="00D1197A"/>
    <w:rsid w:val="00D338B4"/>
    <w:rsid w:val="00D43FA2"/>
    <w:rsid w:val="00D53431"/>
    <w:rsid w:val="00D62B67"/>
    <w:rsid w:val="00D63026"/>
    <w:rsid w:val="00D93F52"/>
    <w:rsid w:val="00DC5CF0"/>
    <w:rsid w:val="00DF1F9D"/>
    <w:rsid w:val="00DF3311"/>
    <w:rsid w:val="00E05661"/>
    <w:rsid w:val="00E53619"/>
    <w:rsid w:val="00E60AD4"/>
    <w:rsid w:val="00EA1ADE"/>
    <w:rsid w:val="00EA5FF6"/>
    <w:rsid w:val="00EA6CE4"/>
    <w:rsid w:val="00EB055D"/>
    <w:rsid w:val="00EC0AE9"/>
    <w:rsid w:val="00EC176B"/>
    <w:rsid w:val="00EE0D58"/>
    <w:rsid w:val="00F06C65"/>
    <w:rsid w:val="00F43FD8"/>
    <w:rsid w:val="00F87F59"/>
    <w:rsid w:val="00FA4B3E"/>
    <w:rsid w:val="00FC01AA"/>
    <w:rsid w:val="00FC2A83"/>
    <w:rsid w:val="00FC58BD"/>
    <w:rsid w:val="00FD00A1"/>
    <w:rsid w:val="00FD44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6198B40-E791-434F-BBB9-F04CDD4F4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1766"/>
    <w:rPr>
      <w:color w:val="000000"/>
      <w:sz w:val="22"/>
      <w:szCs w:val="21"/>
      <w:lang w:eastAsia="en-US"/>
    </w:rPr>
  </w:style>
  <w:style w:type="paragraph" w:styleId="Heading1">
    <w:name w:val="heading 1"/>
    <w:basedOn w:val="Normal"/>
    <w:next w:val="Normal"/>
    <w:link w:val="Heading1Char"/>
    <w:qFormat/>
    <w:rsid w:val="00F43FD8"/>
    <w:pPr>
      <w:keepNext/>
      <w:keepLines/>
      <w:spacing w:before="480"/>
      <w:outlineLvl w:val="0"/>
    </w:pPr>
    <w:rPr>
      <w:rFonts w:ascii="Cambria" w:eastAsia="Times New Roman" w:hAnsi="Cambria"/>
      <w:b/>
      <w:bCs/>
      <w:color w:val="365F91"/>
      <w:sz w:val="28"/>
      <w:szCs w:val="28"/>
    </w:rPr>
  </w:style>
  <w:style w:type="paragraph" w:styleId="Heading2">
    <w:name w:val="heading 2"/>
    <w:basedOn w:val="Heading1"/>
    <w:link w:val="Heading2Char"/>
    <w:autoRedefine/>
    <w:uiPriority w:val="9"/>
    <w:qFormat/>
    <w:rsid w:val="00125196"/>
    <w:pPr>
      <w:spacing w:before="100" w:beforeAutospacing="1" w:after="100" w:afterAutospacing="1"/>
      <w:outlineLvl w:val="1"/>
    </w:pPr>
    <w:rPr>
      <w:rFonts w:cs="Arial"/>
      <w:color w:val="auto"/>
      <w:sz w:val="24"/>
      <w:szCs w:val="24"/>
    </w:rPr>
  </w:style>
  <w:style w:type="paragraph" w:styleId="Heading3">
    <w:name w:val="heading 3"/>
    <w:aliases w:val="Headings for tables and figures"/>
    <w:basedOn w:val="Normal"/>
    <w:next w:val="Normal"/>
    <w:link w:val="Heading3Char"/>
    <w:unhideWhenUsed/>
    <w:qFormat/>
    <w:rsid w:val="002D386E"/>
    <w:pPr>
      <w:keepNext/>
      <w:keepLines/>
      <w:outlineLvl w:val="2"/>
    </w:pPr>
    <w:rPr>
      <w:rFonts w:eastAsia="Times New Roman"/>
      <w:b/>
      <w:szCs w:val="24"/>
    </w:rPr>
  </w:style>
  <w:style w:type="paragraph" w:styleId="Heading4">
    <w:name w:val="heading 4"/>
    <w:aliases w:val="Text in tables 10 point"/>
    <w:basedOn w:val="Normal"/>
    <w:next w:val="Normal"/>
    <w:link w:val="Heading4Char"/>
    <w:uiPriority w:val="9"/>
    <w:unhideWhenUsed/>
    <w:qFormat/>
    <w:rsid w:val="00B15D99"/>
    <w:pPr>
      <w:keepNext/>
      <w:keepLines/>
      <w:outlineLvl w:val="3"/>
    </w:pPr>
    <w:rPr>
      <w:rFonts w:eastAsia="Times New Roman"/>
      <w:iCs/>
      <w:color w:val="40404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125196"/>
    <w:rPr>
      <w:rFonts w:ascii="Cambria" w:eastAsia="Times New Roman" w:hAnsi="Cambria" w:cs="Arial"/>
      <w:b/>
      <w:bCs/>
      <w:sz w:val="24"/>
      <w:szCs w:val="24"/>
      <w:lang w:eastAsia="en-US"/>
    </w:rPr>
  </w:style>
  <w:style w:type="character" w:customStyle="1" w:styleId="Heading1Char">
    <w:name w:val="Heading 1 Char"/>
    <w:link w:val="Heading1"/>
    <w:rsid w:val="00F43FD8"/>
    <w:rPr>
      <w:rFonts w:ascii="Cambria" w:eastAsia="Times New Roman" w:hAnsi="Cambria" w:cs="Times New Roman"/>
      <w:b/>
      <w:bCs/>
      <w:color w:val="365F91"/>
      <w:sz w:val="28"/>
      <w:szCs w:val="28"/>
    </w:rPr>
  </w:style>
  <w:style w:type="character" w:customStyle="1" w:styleId="Heading4Char">
    <w:name w:val="Heading 4 Char"/>
    <w:aliases w:val="Text in tables 10 point Char"/>
    <w:link w:val="Heading4"/>
    <w:uiPriority w:val="9"/>
    <w:rsid w:val="00B15D99"/>
    <w:rPr>
      <w:rFonts w:ascii="Calibri" w:eastAsia="Times New Roman" w:hAnsi="Calibri" w:cs="Times New Roman"/>
      <w:iCs/>
      <w:color w:val="404040"/>
      <w:sz w:val="18"/>
      <w:szCs w:val="21"/>
    </w:rPr>
  </w:style>
  <w:style w:type="table" w:styleId="TableGrid">
    <w:name w:val="Table Grid"/>
    <w:basedOn w:val="TableNormal"/>
    <w:rsid w:val="00B15D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15D99"/>
    <w:pPr>
      <w:ind w:left="720"/>
      <w:contextualSpacing/>
    </w:pPr>
  </w:style>
  <w:style w:type="table" w:styleId="LightShading-Accent3">
    <w:name w:val="Light Shading Accent 3"/>
    <w:basedOn w:val="TableNormal"/>
    <w:uiPriority w:val="60"/>
    <w:rsid w:val="00B15D99"/>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styleId="Footer">
    <w:name w:val="footer"/>
    <w:basedOn w:val="Normal"/>
    <w:link w:val="FooterChar"/>
    <w:uiPriority w:val="99"/>
    <w:unhideWhenUsed/>
    <w:rsid w:val="00B15D99"/>
    <w:pPr>
      <w:tabs>
        <w:tab w:val="center" w:pos="4513"/>
        <w:tab w:val="right" w:pos="9026"/>
      </w:tabs>
    </w:pPr>
  </w:style>
  <w:style w:type="character" w:customStyle="1" w:styleId="FooterChar">
    <w:name w:val="Footer Char"/>
    <w:link w:val="Footer"/>
    <w:uiPriority w:val="99"/>
    <w:rsid w:val="00B15D99"/>
    <w:rPr>
      <w:rFonts w:ascii="Calibri" w:hAnsi="Calibri"/>
      <w:color w:val="000000"/>
      <w:szCs w:val="21"/>
    </w:rPr>
  </w:style>
  <w:style w:type="character" w:customStyle="1" w:styleId="apple-converted-space">
    <w:name w:val="apple-converted-space"/>
    <w:basedOn w:val="DefaultParagraphFont"/>
    <w:rsid w:val="00B15D99"/>
  </w:style>
  <w:style w:type="character" w:styleId="BookTitle">
    <w:name w:val="Book Title"/>
    <w:uiPriority w:val="33"/>
    <w:qFormat/>
    <w:rsid w:val="00B15D99"/>
    <w:rPr>
      <w:b/>
      <w:bCs/>
      <w:smallCaps/>
      <w:spacing w:val="5"/>
    </w:rPr>
  </w:style>
  <w:style w:type="paragraph" w:styleId="BalloonText">
    <w:name w:val="Balloon Text"/>
    <w:basedOn w:val="Normal"/>
    <w:link w:val="BalloonTextChar"/>
    <w:semiHidden/>
    <w:unhideWhenUsed/>
    <w:rsid w:val="00B15D99"/>
    <w:rPr>
      <w:rFonts w:ascii="Tahoma" w:hAnsi="Tahoma" w:cs="Tahoma"/>
      <w:sz w:val="16"/>
      <w:szCs w:val="16"/>
    </w:rPr>
  </w:style>
  <w:style w:type="character" w:customStyle="1" w:styleId="BalloonTextChar">
    <w:name w:val="Balloon Text Char"/>
    <w:link w:val="BalloonText"/>
    <w:semiHidden/>
    <w:rsid w:val="00B15D99"/>
    <w:rPr>
      <w:rFonts w:ascii="Tahoma" w:hAnsi="Tahoma" w:cs="Tahoma"/>
      <w:color w:val="000000"/>
      <w:sz w:val="16"/>
      <w:szCs w:val="16"/>
    </w:rPr>
  </w:style>
  <w:style w:type="character" w:styleId="Hyperlink">
    <w:name w:val="Hyperlink"/>
    <w:uiPriority w:val="99"/>
    <w:unhideWhenUsed/>
    <w:rsid w:val="00B15D99"/>
    <w:rPr>
      <w:color w:val="0000FF"/>
      <w:u w:val="single"/>
    </w:rPr>
  </w:style>
  <w:style w:type="paragraph" w:styleId="TOCHeading">
    <w:name w:val="TOC Heading"/>
    <w:basedOn w:val="Heading1"/>
    <w:next w:val="Normal"/>
    <w:uiPriority w:val="39"/>
    <w:unhideWhenUsed/>
    <w:qFormat/>
    <w:rsid w:val="00EB055D"/>
    <w:pPr>
      <w:spacing w:line="276" w:lineRule="auto"/>
      <w:outlineLvl w:val="9"/>
    </w:pPr>
    <w:rPr>
      <w:lang w:val="en-US"/>
    </w:rPr>
  </w:style>
  <w:style w:type="paragraph" w:styleId="TOC1">
    <w:name w:val="toc 1"/>
    <w:basedOn w:val="Normal"/>
    <w:next w:val="Normal"/>
    <w:autoRedefine/>
    <w:uiPriority w:val="39"/>
    <w:unhideWhenUsed/>
    <w:rsid w:val="00EB055D"/>
    <w:pPr>
      <w:spacing w:after="100"/>
    </w:pPr>
  </w:style>
  <w:style w:type="paragraph" w:styleId="TOC2">
    <w:name w:val="toc 2"/>
    <w:basedOn w:val="Normal"/>
    <w:next w:val="Normal"/>
    <w:autoRedefine/>
    <w:uiPriority w:val="39"/>
    <w:unhideWhenUsed/>
    <w:rsid w:val="00EB055D"/>
    <w:pPr>
      <w:spacing w:after="100"/>
      <w:ind w:left="220"/>
    </w:pPr>
  </w:style>
  <w:style w:type="paragraph" w:styleId="Header">
    <w:name w:val="header"/>
    <w:basedOn w:val="Normal"/>
    <w:link w:val="HeaderChar"/>
    <w:uiPriority w:val="99"/>
    <w:unhideWhenUsed/>
    <w:rsid w:val="00804C1B"/>
    <w:pPr>
      <w:tabs>
        <w:tab w:val="center" w:pos="4513"/>
        <w:tab w:val="right" w:pos="9026"/>
      </w:tabs>
    </w:pPr>
  </w:style>
  <w:style w:type="character" w:customStyle="1" w:styleId="HeaderChar">
    <w:name w:val="Header Char"/>
    <w:link w:val="Header"/>
    <w:uiPriority w:val="99"/>
    <w:rsid w:val="00804C1B"/>
    <w:rPr>
      <w:rFonts w:ascii="Calibri" w:hAnsi="Calibri"/>
      <w:color w:val="000000"/>
      <w:szCs w:val="21"/>
    </w:rPr>
  </w:style>
  <w:style w:type="paragraph" w:styleId="NoSpacing">
    <w:name w:val="No Spacing"/>
    <w:aliases w:val="General text bold but nNOT heading,General"/>
    <w:link w:val="NoSpacingChar"/>
    <w:uiPriority w:val="1"/>
    <w:qFormat/>
    <w:rsid w:val="00365EF3"/>
    <w:rPr>
      <w:rFonts w:eastAsia="Times New Roman"/>
      <w:sz w:val="22"/>
      <w:szCs w:val="22"/>
      <w:lang w:val="en-US" w:eastAsia="en-US"/>
    </w:rPr>
  </w:style>
  <w:style w:type="character" w:customStyle="1" w:styleId="NoSpacingChar">
    <w:name w:val="No Spacing Char"/>
    <w:aliases w:val="General text bold but nNOT heading Char,General Char"/>
    <w:link w:val="NoSpacing"/>
    <w:uiPriority w:val="1"/>
    <w:rsid w:val="00365EF3"/>
    <w:rPr>
      <w:rFonts w:eastAsia="Times New Roman"/>
      <w:lang w:val="en-US"/>
    </w:rPr>
  </w:style>
  <w:style w:type="paragraph" w:styleId="NormalWeb">
    <w:name w:val="Normal (Web)"/>
    <w:basedOn w:val="Normal"/>
    <w:unhideWhenUsed/>
    <w:rsid w:val="007B612B"/>
    <w:pPr>
      <w:spacing w:before="100" w:beforeAutospacing="1" w:after="100" w:afterAutospacing="1"/>
    </w:pPr>
    <w:rPr>
      <w:rFonts w:ascii="Times New Roman" w:eastAsia="Times New Roman" w:hAnsi="Times New Roman"/>
      <w:color w:val="auto"/>
      <w:sz w:val="24"/>
      <w:szCs w:val="24"/>
      <w:lang w:eastAsia="en-GB"/>
    </w:rPr>
  </w:style>
  <w:style w:type="character" w:customStyle="1" w:styleId="Heading3Char">
    <w:name w:val="Heading 3 Char"/>
    <w:aliases w:val="Headings for tables and figures Char"/>
    <w:link w:val="Heading3"/>
    <w:uiPriority w:val="9"/>
    <w:rsid w:val="002D386E"/>
    <w:rPr>
      <w:rFonts w:ascii="Calibri" w:eastAsia="Times New Roman" w:hAnsi="Calibri" w:cs="Times New Roman"/>
      <w:b/>
      <w:color w:val="000000"/>
      <w:szCs w:val="24"/>
    </w:rPr>
  </w:style>
  <w:style w:type="table" w:customStyle="1" w:styleId="MediumShading21">
    <w:name w:val="Medium Shading 21"/>
    <w:basedOn w:val="TableNormal"/>
    <w:uiPriority w:val="64"/>
    <w:rsid w:val="002D386E"/>
    <w:rPr>
      <w:color w:val="3071C3"/>
      <w:sz w:val="21"/>
      <w:szCs w:val="21"/>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5">
    <w:name w:val="Light List Accent 5"/>
    <w:basedOn w:val="TableNormal"/>
    <w:uiPriority w:val="61"/>
    <w:rsid w:val="002D386E"/>
    <w:rPr>
      <w:color w:val="3071C3"/>
      <w:sz w:val="21"/>
      <w:szCs w:val="21"/>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character" w:styleId="Strong">
    <w:name w:val="Strong"/>
    <w:uiPriority w:val="22"/>
    <w:qFormat/>
    <w:rsid w:val="002D386E"/>
    <w:rPr>
      <w:b/>
      <w:bCs/>
    </w:rPr>
  </w:style>
  <w:style w:type="paragraph" w:customStyle="1" w:styleId="Default">
    <w:name w:val="Default"/>
    <w:rsid w:val="002D386E"/>
    <w:pPr>
      <w:autoSpaceDE w:val="0"/>
      <w:autoSpaceDN w:val="0"/>
      <w:adjustRightInd w:val="0"/>
    </w:pPr>
    <w:rPr>
      <w:rFonts w:ascii="Century Gothic" w:eastAsia="Times New Roman" w:hAnsi="Century Gothic" w:cs="Century Gothic"/>
      <w:color w:val="000000"/>
      <w:sz w:val="24"/>
      <w:szCs w:val="24"/>
    </w:rPr>
  </w:style>
  <w:style w:type="paragraph" w:styleId="Title">
    <w:name w:val="Title"/>
    <w:basedOn w:val="Normal"/>
    <w:link w:val="TitleChar"/>
    <w:uiPriority w:val="10"/>
    <w:qFormat/>
    <w:rsid w:val="002D386E"/>
    <w:pPr>
      <w:spacing w:after="360"/>
      <w:contextualSpacing/>
    </w:pPr>
    <w:rPr>
      <w:rFonts w:eastAsia="Times New Roman"/>
      <w:b/>
      <w:color w:val="7030A0"/>
      <w:spacing w:val="-10"/>
      <w:kern w:val="28"/>
      <w:sz w:val="48"/>
      <w:szCs w:val="56"/>
    </w:rPr>
  </w:style>
  <w:style w:type="character" w:customStyle="1" w:styleId="TitleChar">
    <w:name w:val="Title Char"/>
    <w:link w:val="Title"/>
    <w:uiPriority w:val="10"/>
    <w:rsid w:val="002D386E"/>
    <w:rPr>
      <w:rFonts w:ascii="Calibri" w:eastAsia="Times New Roman" w:hAnsi="Calibri" w:cs="Times New Roman"/>
      <w:b/>
      <w:color w:val="7030A0"/>
      <w:spacing w:val="-10"/>
      <w:kern w:val="28"/>
      <w:sz w:val="48"/>
      <w:szCs w:val="56"/>
    </w:rPr>
  </w:style>
  <w:style w:type="paragraph" w:styleId="Subtitle">
    <w:name w:val="Subtitle"/>
    <w:basedOn w:val="Normal"/>
    <w:link w:val="SubtitleChar"/>
    <w:uiPriority w:val="11"/>
    <w:qFormat/>
    <w:rsid w:val="002D386E"/>
    <w:pPr>
      <w:numPr>
        <w:ilvl w:val="1"/>
      </w:numPr>
      <w:spacing w:after="160"/>
    </w:pPr>
    <w:rPr>
      <w:rFonts w:eastAsia="Times New Roman"/>
      <w:spacing w:val="15"/>
      <w:sz w:val="28"/>
      <w:szCs w:val="22"/>
    </w:rPr>
  </w:style>
  <w:style w:type="character" w:customStyle="1" w:styleId="SubtitleChar">
    <w:name w:val="Subtitle Char"/>
    <w:link w:val="Subtitle"/>
    <w:uiPriority w:val="11"/>
    <w:rsid w:val="002D386E"/>
    <w:rPr>
      <w:rFonts w:ascii="Calibri" w:eastAsia="Times New Roman" w:hAnsi="Calibri"/>
      <w:color w:val="000000"/>
      <w:spacing w:val="15"/>
      <w:sz w:val="28"/>
    </w:rPr>
  </w:style>
  <w:style w:type="character" w:styleId="FollowedHyperlink">
    <w:name w:val="FollowedHyperlink"/>
    <w:uiPriority w:val="99"/>
    <w:semiHidden/>
    <w:unhideWhenUsed/>
    <w:rsid w:val="002D386E"/>
    <w:rPr>
      <w:color w:val="800080"/>
      <w:u w:val="single"/>
    </w:rPr>
  </w:style>
  <w:style w:type="paragraph" w:styleId="TOC3">
    <w:name w:val="toc 3"/>
    <w:basedOn w:val="Normal"/>
    <w:next w:val="Normal"/>
    <w:autoRedefine/>
    <w:uiPriority w:val="39"/>
    <w:unhideWhenUsed/>
    <w:rsid w:val="002D386E"/>
    <w:pPr>
      <w:spacing w:after="100"/>
      <w:ind w:left="440"/>
    </w:pPr>
  </w:style>
  <w:style w:type="character" w:styleId="Emphasis">
    <w:name w:val="Emphasis"/>
    <w:uiPriority w:val="20"/>
    <w:qFormat/>
    <w:rsid w:val="002D386E"/>
    <w:rPr>
      <w:b/>
      <w:bCs/>
      <w:i w:val="0"/>
      <w:iCs w:val="0"/>
    </w:rPr>
  </w:style>
  <w:style w:type="character" w:customStyle="1" w:styleId="st1">
    <w:name w:val="st1"/>
    <w:basedOn w:val="DefaultParagraphFont"/>
    <w:rsid w:val="002D386E"/>
  </w:style>
  <w:style w:type="paragraph" w:styleId="BodyText">
    <w:name w:val="Body Text"/>
    <w:basedOn w:val="Normal"/>
    <w:link w:val="BodyTextChar"/>
    <w:rsid w:val="002D386E"/>
    <w:pPr>
      <w:widowControl w:val="0"/>
      <w:autoSpaceDE w:val="0"/>
      <w:autoSpaceDN w:val="0"/>
      <w:adjustRightInd w:val="0"/>
      <w:spacing w:line="360" w:lineRule="atLeast"/>
      <w:jc w:val="both"/>
      <w:textAlignment w:val="baseline"/>
    </w:pPr>
    <w:rPr>
      <w:rFonts w:ascii="Arial" w:eastAsia="Times New Roman" w:hAnsi="Arial" w:cs="Arial"/>
      <w:color w:val="00FFFF"/>
      <w:sz w:val="24"/>
      <w:szCs w:val="24"/>
      <w:lang w:eastAsia="en-GB"/>
    </w:rPr>
  </w:style>
  <w:style w:type="character" w:customStyle="1" w:styleId="BodyTextChar">
    <w:name w:val="Body Text Char"/>
    <w:link w:val="BodyText"/>
    <w:rsid w:val="002D386E"/>
    <w:rPr>
      <w:rFonts w:ascii="Arial" w:eastAsia="Times New Roman" w:hAnsi="Arial" w:cs="Arial"/>
      <w:color w:val="00FFFF"/>
      <w:sz w:val="24"/>
      <w:szCs w:val="24"/>
      <w:lang w:eastAsia="en-GB"/>
    </w:rPr>
  </w:style>
  <w:style w:type="paragraph" w:styleId="BodyTextIndent">
    <w:name w:val="Body Text Indent"/>
    <w:basedOn w:val="Normal"/>
    <w:link w:val="BodyTextIndentChar"/>
    <w:rsid w:val="002D386E"/>
    <w:pPr>
      <w:widowControl w:val="0"/>
      <w:autoSpaceDE w:val="0"/>
      <w:autoSpaceDN w:val="0"/>
      <w:adjustRightInd w:val="0"/>
      <w:spacing w:line="360" w:lineRule="atLeast"/>
      <w:jc w:val="both"/>
      <w:textAlignment w:val="baseline"/>
    </w:pPr>
    <w:rPr>
      <w:rFonts w:ascii="Arial" w:eastAsia="Times New Roman" w:hAnsi="Arial" w:cs="Arial"/>
      <w:i/>
      <w:iCs/>
      <w:color w:val="auto"/>
      <w:sz w:val="20"/>
      <w:szCs w:val="20"/>
      <w:lang w:eastAsia="en-GB"/>
    </w:rPr>
  </w:style>
  <w:style w:type="character" w:customStyle="1" w:styleId="BodyTextIndentChar">
    <w:name w:val="Body Text Indent Char"/>
    <w:link w:val="BodyTextIndent"/>
    <w:rsid w:val="002D386E"/>
    <w:rPr>
      <w:rFonts w:ascii="Arial" w:eastAsia="Times New Roman" w:hAnsi="Arial" w:cs="Arial"/>
      <w:i/>
      <w:iCs/>
      <w:sz w:val="20"/>
      <w:szCs w:val="20"/>
      <w:lang w:eastAsia="en-GB"/>
    </w:rPr>
  </w:style>
  <w:style w:type="paragraph" w:styleId="BodyText3">
    <w:name w:val="Body Text 3"/>
    <w:basedOn w:val="Normal"/>
    <w:link w:val="BodyText3Char"/>
    <w:rsid w:val="002D386E"/>
    <w:pPr>
      <w:widowControl w:val="0"/>
      <w:autoSpaceDE w:val="0"/>
      <w:autoSpaceDN w:val="0"/>
      <w:adjustRightInd w:val="0"/>
      <w:spacing w:line="360" w:lineRule="atLeast"/>
      <w:jc w:val="both"/>
      <w:textAlignment w:val="baseline"/>
    </w:pPr>
    <w:rPr>
      <w:rFonts w:ascii="Arial" w:eastAsia="Times New Roman" w:hAnsi="Arial" w:cs="Arial"/>
      <w:b/>
      <w:bCs/>
      <w:color w:val="auto"/>
      <w:szCs w:val="22"/>
      <w:lang w:eastAsia="en-GB"/>
    </w:rPr>
  </w:style>
  <w:style w:type="character" w:customStyle="1" w:styleId="BodyText3Char">
    <w:name w:val="Body Text 3 Char"/>
    <w:link w:val="BodyText3"/>
    <w:rsid w:val="002D386E"/>
    <w:rPr>
      <w:rFonts w:ascii="Arial" w:eastAsia="Times New Roman" w:hAnsi="Arial" w:cs="Arial"/>
      <w:b/>
      <w:bCs/>
      <w:lang w:eastAsia="en-GB"/>
    </w:rPr>
  </w:style>
  <w:style w:type="paragraph" w:styleId="DocumentMap">
    <w:name w:val="Document Map"/>
    <w:basedOn w:val="Normal"/>
    <w:link w:val="DocumentMapChar"/>
    <w:semiHidden/>
    <w:rsid w:val="002D386E"/>
    <w:pPr>
      <w:widowControl w:val="0"/>
      <w:shd w:val="clear" w:color="auto" w:fill="000080"/>
      <w:autoSpaceDE w:val="0"/>
      <w:autoSpaceDN w:val="0"/>
      <w:adjustRightInd w:val="0"/>
      <w:spacing w:line="360" w:lineRule="atLeast"/>
      <w:jc w:val="both"/>
      <w:textAlignment w:val="baseline"/>
    </w:pPr>
    <w:rPr>
      <w:rFonts w:ascii="Tahoma" w:eastAsia="Times New Roman" w:hAnsi="Tahoma" w:cs="Tahoma"/>
      <w:color w:val="auto"/>
      <w:szCs w:val="22"/>
      <w:lang w:eastAsia="en-GB"/>
    </w:rPr>
  </w:style>
  <w:style w:type="character" w:customStyle="1" w:styleId="DocumentMapChar">
    <w:name w:val="Document Map Char"/>
    <w:link w:val="DocumentMap"/>
    <w:semiHidden/>
    <w:rsid w:val="002D386E"/>
    <w:rPr>
      <w:rFonts w:ascii="Tahoma" w:eastAsia="Times New Roman" w:hAnsi="Tahoma" w:cs="Tahoma"/>
      <w:shd w:val="clear" w:color="auto" w:fill="000080"/>
      <w:lang w:eastAsia="en-GB"/>
    </w:rPr>
  </w:style>
  <w:style w:type="paragraph" w:styleId="Caption">
    <w:name w:val="caption"/>
    <w:basedOn w:val="Normal"/>
    <w:next w:val="Normal"/>
    <w:uiPriority w:val="35"/>
    <w:unhideWhenUsed/>
    <w:qFormat/>
    <w:rsid w:val="002D386E"/>
    <w:pPr>
      <w:spacing w:after="200"/>
    </w:pPr>
    <w:rPr>
      <w:b/>
      <w:bCs/>
      <w:color w:val="4F81BD"/>
      <w:sz w:val="18"/>
      <w:szCs w:val="18"/>
    </w:rPr>
  </w:style>
  <w:style w:type="character" w:styleId="CommentReference">
    <w:name w:val="annotation reference"/>
    <w:uiPriority w:val="99"/>
    <w:semiHidden/>
    <w:unhideWhenUsed/>
    <w:rsid w:val="002D386E"/>
    <w:rPr>
      <w:sz w:val="16"/>
      <w:szCs w:val="16"/>
    </w:rPr>
  </w:style>
  <w:style w:type="paragraph" w:styleId="CommentText">
    <w:name w:val="annotation text"/>
    <w:basedOn w:val="Normal"/>
    <w:link w:val="CommentTextChar"/>
    <w:uiPriority w:val="99"/>
    <w:semiHidden/>
    <w:unhideWhenUsed/>
    <w:rsid w:val="002D386E"/>
    <w:rPr>
      <w:sz w:val="20"/>
      <w:szCs w:val="20"/>
    </w:rPr>
  </w:style>
  <w:style w:type="character" w:customStyle="1" w:styleId="CommentTextChar">
    <w:name w:val="Comment Text Char"/>
    <w:link w:val="CommentText"/>
    <w:uiPriority w:val="99"/>
    <w:semiHidden/>
    <w:rsid w:val="002D386E"/>
    <w:rPr>
      <w:rFonts w:ascii="Calibri" w:hAnsi="Calibri"/>
      <w:color w:val="000000"/>
      <w:sz w:val="20"/>
      <w:szCs w:val="20"/>
    </w:rPr>
  </w:style>
  <w:style w:type="paragraph" w:styleId="CommentSubject">
    <w:name w:val="annotation subject"/>
    <w:basedOn w:val="CommentText"/>
    <w:next w:val="CommentText"/>
    <w:link w:val="CommentSubjectChar"/>
    <w:uiPriority w:val="99"/>
    <w:semiHidden/>
    <w:unhideWhenUsed/>
    <w:rsid w:val="002D386E"/>
    <w:rPr>
      <w:b/>
      <w:bCs/>
    </w:rPr>
  </w:style>
  <w:style w:type="character" w:customStyle="1" w:styleId="CommentSubjectChar">
    <w:name w:val="Comment Subject Char"/>
    <w:link w:val="CommentSubject"/>
    <w:uiPriority w:val="99"/>
    <w:semiHidden/>
    <w:rsid w:val="002D386E"/>
    <w:rPr>
      <w:rFonts w:ascii="Calibri" w:hAnsi="Calibri"/>
      <w:b/>
      <w:bCs/>
      <w:color w:val="000000"/>
      <w:sz w:val="20"/>
      <w:szCs w:val="20"/>
    </w:rPr>
  </w:style>
  <w:style w:type="table" w:customStyle="1" w:styleId="GridTable5Dark-Accent11">
    <w:name w:val="Grid Table 5 Dark - Accent 11"/>
    <w:basedOn w:val="TableNormal"/>
    <w:uiPriority w:val="50"/>
    <w:rsid w:val="00AF10DA"/>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LightList">
    <w:name w:val="Light List"/>
    <w:basedOn w:val="TableNormal"/>
    <w:uiPriority w:val="61"/>
    <w:rsid w:val="00AF10D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nationalpubwatch.org.uk/" TargetMode="External"/><Relationship Id="rId18" Type="http://schemas.microsoft.com/office/2007/relationships/diagramDrawing" Target="diagrams/drawing1.xm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diagramColors" Target="diagrams/colors1.xml"/><Relationship Id="rId25" Type="http://schemas.openxmlformats.org/officeDocument/2006/relationships/hyperlink" Target="mailto:admin@nationalpubwatch.org.uk" TargetMode="Externa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package" Target="embeddings/Microsoft_Word_Document1.docx"/><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package" Target="embeddings/Microsoft_Word_Document3.docx"/><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image" Target="media/image7.emf"/><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diagramData" Target="diagrams/data1.xml"/><Relationship Id="rId22" Type="http://schemas.openxmlformats.org/officeDocument/2006/relationships/package" Target="embeddings/Microsoft_Word_Document2.docx"/><Relationship Id="rId27"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x\Google%20Drive\All%20work%20files%20(1)\Portman%20Group\Pubwatch%20Evaluation%20Toolkit\Final%20PDF%20Verson\1%20%20Pubwatch%20Evaluation%20Toolkit%20Outline%20and%20Toolkits%20with%20Appendices%20signed%20off.dot"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9A03EBE-C35B-4F3C-B917-8AD7168D66D2}" type="doc">
      <dgm:prSet loTypeId="urn:microsoft.com/office/officeart/2005/8/layout/hierarchy3" loCatId="hierarchy" qsTypeId="urn:microsoft.com/office/officeart/2005/8/quickstyle/simple1" qsCatId="simple" csTypeId="urn:microsoft.com/office/officeart/2005/8/colors/accent1_2" csCatId="accent1" phldr="1"/>
      <dgm:spPr/>
      <dgm:t>
        <a:bodyPr/>
        <a:lstStyle/>
        <a:p>
          <a:endParaRPr lang="en-GB"/>
        </a:p>
      </dgm:t>
    </dgm:pt>
    <dgm:pt modelId="{57E78F73-E611-452E-8D63-981B397E5443}">
      <dgm:prSet phldrT="[Text]" custT="1"/>
      <dgm:spPr/>
      <dgm:t>
        <a:bodyPr/>
        <a:lstStyle/>
        <a:p>
          <a:r>
            <a:rPr lang="en-GB" sz="1800"/>
            <a:t>Step 1</a:t>
          </a:r>
        </a:p>
      </dgm:t>
    </dgm:pt>
    <dgm:pt modelId="{63D6C8B7-F9EF-478C-BE45-500FD1FD757E}" type="parTrans" cxnId="{C05C1B92-79DE-4D50-88C4-64EFA6DC423F}">
      <dgm:prSet/>
      <dgm:spPr/>
      <dgm:t>
        <a:bodyPr/>
        <a:lstStyle/>
        <a:p>
          <a:endParaRPr lang="en-GB"/>
        </a:p>
      </dgm:t>
    </dgm:pt>
    <dgm:pt modelId="{007CE6A9-45CE-414A-BD37-ABA8732BE066}" type="sibTrans" cxnId="{C05C1B92-79DE-4D50-88C4-64EFA6DC423F}">
      <dgm:prSet/>
      <dgm:spPr/>
      <dgm:t>
        <a:bodyPr/>
        <a:lstStyle/>
        <a:p>
          <a:endParaRPr lang="en-GB"/>
        </a:p>
      </dgm:t>
    </dgm:pt>
    <dgm:pt modelId="{9B220ACC-681C-407F-9785-4BCBD6425A59}">
      <dgm:prSet phldrT="[Text]" custT="1"/>
      <dgm:spPr/>
      <dgm:t>
        <a:bodyPr/>
        <a:lstStyle/>
        <a:p>
          <a:r>
            <a:rPr lang="en-GB" sz="1200"/>
            <a:t>Set up local Pubwarch scheme</a:t>
          </a:r>
        </a:p>
      </dgm:t>
    </dgm:pt>
    <dgm:pt modelId="{E8031A2A-EC36-43DF-8580-1897EB50EF0C}" type="parTrans" cxnId="{86917914-9594-4137-A5A3-DD391D2FB288}">
      <dgm:prSet/>
      <dgm:spPr/>
      <dgm:t>
        <a:bodyPr/>
        <a:lstStyle/>
        <a:p>
          <a:endParaRPr lang="en-GB"/>
        </a:p>
      </dgm:t>
    </dgm:pt>
    <dgm:pt modelId="{FB63DFA6-46C5-4D9E-B175-E444D44FEF95}" type="sibTrans" cxnId="{86917914-9594-4137-A5A3-DD391D2FB288}">
      <dgm:prSet/>
      <dgm:spPr/>
      <dgm:t>
        <a:bodyPr/>
        <a:lstStyle/>
        <a:p>
          <a:endParaRPr lang="en-GB"/>
        </a:p>
      </dgm:t>
    </dgm:pt>
    <dgm:pt modelId="{B55B0B5D-5C62-494F-8F40-124740A3ACA1}">
      <dgm:prSet phldrT="[Text]" custT="1"/>
      <dgm:spPr/>
      <dgm:t>
        <a:bodyPr/>
        <a:lstStyle/>
        <a:p>
          <a:r>
            <a:rPr lang="en-GB" sz="1800"/>
            <a:t>Step 2</a:t>
          </a:r>
        </a:p>
      </dgm:t>
    </dgm:pt>
    <dgm:pt modelId="{2206883F-361D-4DB5-99D0-BAFCC4D13979}" type="parTrans" cxnId="{8D05510E-282F-46C6-9F5B-49D95B0ED60D}">
      <dgm:prSet/>
      <dgm:spPr/>
      <dgm:t>
        <a:bodyPr/>
        <a:lstStyle/>
        <a:p>
          <a:endParaRPr lang="en-GB"/>
        </a:p>
      </dgm:t>
    </dgm:pt>
    <dgm:pt modelId="{B2A97770-3EF7-4C5D-8A3A-6924DA83D5E4}" type="sibTrans" cxnId="{8D05510E-282F-46C6-9F5B-49D95B0ED60D}">
      <dgm:prSet/>
      <dgm:spPr/>
      <dgm:t>
        <a:bodyPr/>
        <a:lstStyle/>
        <a:p>
          <a:endParaRPr lang="en-GB"/>
        </a:p>
      </dgm:t>
    </dgm:pt>
    <dgm:pt modelId="{218533E9-D8EA-4F45-B2E3-461CECA59471}">
      <dgm:prSet phldrT="[Text]" custT="1"/>
      <dgm:spPr/>
      <dgm:t>
        <a:bodyPr/>
        <a:lstStyle/>
        <a:p>
          <a:r>
            <a:rPr lang="en-GB" sz="1200"/>
            <a:t>Launch </a:t>
          </a:r>
        </a:p>
        <a:p>
          <a:r>
            <a:rPr lang="en-GB" sz="1200"/>
            <a:t>Conduct Baseline Evaluation </a:t>
          </a:r>
        </a:p>
      </dgm:t>
    </dgm:pt>
    <dgm:pt modelId="{7CBCE80E-D5D1-49AD-A910-CF4D30D4D41A}" type="parTrans" cxnId="{95C0FC42-311B-44D3-A34C-EF18479122DA}">
      <dgm:prSet/>
      <dgm:spPr/>
      <dgm:t>
        <a:bodyPr/>
        <a:lstStyle/>
        <a:p>
          <a:endParaRPr lang="en-GB"/>
        </a:p>
      </dgm:t>
    </dgm:pt>
    <dgm:pt modelId="{AB7D3450-A628-4516-9716-A3B9E19BC3F5}" type="sibTrans" cxnId="{95C0FC42-311B-44D3-A34C-EF18479122DA}">
      <dgm:prSet/>
      <dgm:spPr/>
      <dgm:t>
        <a:bodyPr/>
        <a:lstStyle/>
        <a:p>
          <a:endParaRPr lang="en-GB"/>
        </a:p>
      </dgm:t>
    </dgm:pt>
    <dgm:pt modelId="{321095C9-8C84-4CCC-9FA9-ABB7D05245B3}">
      <dgm:prSet phldrT="[Text]" custT="1"/>
      <dgm:spPr/>
      <dgm:t>
        <a:bodyPr/>
        <a:lstStyle/>
        <a:p>
          <a:r>
            <a:rPr lang="en-GB" sz="1800"/>
            <a:t>Step 3</a:t>
          </a:r>
        </a:p>
      </dgm:t>
    </dgm:pt>
    <dgm:pt modelId="{32D2BA39-9866-4469-91B5-785087AF427B}" type="parTrans" cxnId="{1496756E-D48B-4A89-867F-5A540F408EC6}">
      <dgm:prSet/>
      <dgm:spPr/>
      <dgm:t>
        <a:bodyPr/>
        <a:lstStyle/>
        <a:p>
          <a:endParaRPr lang="en-GB"/>
        </a:p>
      </dgm:t>
    </dgm:pt>
    <dgm:pt modelId="{60029E84-81DB-44CF-A390-FF36BEAFA9D0}" type="sibTrans" cxnId="{1496756E-D48B-4A89-867F-5A540F408EC6}">
      <dgm:prSet/>
      <dgm:spPr/>
      <dgm:t>
        <a:bodyPr/>
        <a:lstStyle/>
        <a:p>
          <a:endParaRPr lang="en-GB"/>
        </a:p>
      </dgm:t>
    </dgm:pt>
    <dgm:pt modelId="{1D5631B7-D679-40CE-9029-B1CC073DA8E4}">
      <dgm:prSet phldrT="[Text]" custT="1"/>
      <dgm:spPr/>
      <dgm:t>
        <a:bodyPr/>
        <a:lstStyle/>
        <a:p>
          <a:r>
            <a:rPr lang="en-GB" sz="1200"/>
            <a:t>Conduct Year-On-Year Evaluation </a:t>
          </a:r>
        </a:p>
      </dgm:t>
    </dgm:pt>
    <dgm:pt modelId="{9685EB25-936C-43AD-97DF-5ABF54074623}" type="parTrans" cxnId="{994F6AF1-96C6-47D0-BA15-1BA67A0C8C8C}">
      <dgm:prSet/>
      <dgm:spPr/>
      <dgm:t>
        <a:bodyPr/>
        <a:lstStyle/>
        <a:p>
          <a:endParaRPr lang="en-GB"/>
        </a:p>
      </dgm:t>
    </dgm:pt>
    <dgm:pt modelId="{38F92A5C-0793-4135-BFF4-F08B5E08B449}" type="sibTrans" cxnId="{994F6AF1-96C6-47D0-BA15-1BA67A0C8C8C}">
      <dgm:prSet/>
      <dgm:spPr/>
      <dgm:t>
        <a:bodyPr/>
        <a:lstStyle/>
        <a:p>
          <a:endParaRPr lang="en-GB"/>
        </a:p>
      </dgm:t>
    </dgm:pt>
    <dgm:pt modelId="{65ABDF12-784F-4F9B-987C-3830BA5B903E}">
      <dgm:prSet phldrT="[Text]" custT="1"/>
      <dgm:spPr/>
      <dgm:t>
        <a:bodyPr/>
        <a:lstStyle/>
        <a:p>
          <a:r>
            <a:rPr lang="en-GB" sz="1600"/>
            <a:t>Step 4*</a:t>
          </a:r>
        </a:p>
      </dgm:t>
    </dgm:pt>
    <dgm:pt modelId="{FBB918D2-D53A-42A0-9822-643CC689664E}" type="parTrans" cxnId="{D12EF3C6-4DB5-4E5B-9D77-9EFB8A90DEF9}">
      <dgm:prSet/>
      <dgm:spPr/>
      <dgm:t>
        <a:bodyPr/>
        <a:lstStyle/>
        <a:p>
          <a:endParaRPr lang="en-GB"/>
        </a:p>
      </dgm:t>
    </dgm:pt>
    <dgm:pt modelId="{D4E3FE11-EE6E-41D6-9A20-5D702199C611}" type="sibTrans" cxnId="{D12EF3C6-4DB5-4E5B-9D77-9EFB8A90DEF9}">
      <dgm:prSet/>
      <dgm:spPr/>
      <dgm:t>
        <a:bodyPr/>
        <a:lstStyle/>
        <a:p>
          <a:endParaRPr lang="en-GB"/>
        </a:p>
      </dgm:t>
    </dgm:pt>
    <dgm:pt modelId="{2A89C136-22D2-4982-8B1F-DF686A0839A3}">
      <dgm:prSet phldrT="[Text]" custT="1"/>
      <dgm:spPr/>
      <dgm:t>
        <a:bodyPr/>
        <a:lstStyle/>
        <a:p>
          <a:r>
            <a:rPr lang="en-GB" sz="1200"/>
            <a:t>Report Findings</a:t>
          </a:r>
        </a:p>
      </dgm:t>
    </dgm:pt>
    <dgm:pt modelId="{01CB2499-B887-4FF8-888D-D72C9A43B65E}" type="parTrans" cxnId="{1B69182F-F55A-42BC-8ECA-973B301B140B}">
      <dgm:prSet/>
      <dgm:spPr/>
      <dgm:t>
        <a:bodyPr/>
        <a:lstStyle/>
        <a:p>
          <a:endParaRPr lang="en-GB"/>
        </a:p>
      </dgm:t>
    </dgm:pt>
    <dgm:pt modelId="{71DC6AC0-629D-4AEA-B497-B7537F8AF8FE}" type="sibTrans" cxnId="{1B69182F-F55A-42BC-8ECA-973B301B140B}">
      <dgm:prSet/>
      <dgm:spPr/>
      <dgm:t>
        <a:bodyPr/>
        <a:lstStyle/>
        <a:p>
          <a:endParaRPr lang="en-GB"/>
        </a:p>
      </dgm:t>
    </dgm:pt>
    <dgm:pt modelId="{FA4C4536-BBFD-408B-A01B-115411226E11}" type="pres">
      <dgm:prSet presAssocID="{D9A03EBE-C35B-4F3C-B917-8AD7168D66D2}" presName="diagram" presStyleCnt="0">
        <dgm:presLayoutVars>
          <dgm:chPref val="1"/>
          <dgm:dir/>
          <dgm:animOne val="branch"/>
          <dgm:animLvl val="lvl"/>
          <dgm:resizeHandles/>
        </dgm:presLayoutVars>
      </dgm:prSet>
      <dgm:spPr/>
      <dgm:t>
        <a:bodyPr/>
        <a:lstStyle/>
        <a:p>
          <a:endParaRPr lang="en-GB"/>
        </a:p>
      </dgm:t>
    </dgm:pt>
    <dgm:pt modelId="{1C007242-7E9A-462B-BE11-805F0CBD9EFF}" type="pres">
      <dgm:prSet presAssocID="{57E78F73-E611-452E-8D63-981B397E5443}" presName="root" presStyleCnt="0"/>
      <dgm:spPr/>
    </dgm:pt>
    <dgm:pt modelId="{582776C8-83C8-4F6E-8695-610C6D8331C0}" type="pres">
      <dgm:prSet presAssocID="{57E78F73-E611-452E-8D63-981B397E5443}" presName="rootComposite" presStyleCnt="0"/>
      <dgm:spPr/>
    </dgm:pt>
    <dgm:pt modelId="{967F4E01-A084-4B1F-B6F6-CCF2514968EF}" type="pres">
      <dgm:prSet presAssocID="{57E78F73-E611-452E-8D63-981B397E5443}" presName="rootText" presStyleLbl="node1" presStyleIdx="0" presStyleCnt="4"/>
      <dgm:spPr/>
      <dgm:t>
        <a:bodyPr/>
        <a:lstStyle/>
        <a:p>
          <a:endParaRPr lang="en-GB"/>
        </a:p>
      </dgm:t>
    </dgm:pt>
    <dgm:pt modelId="{09BA499F-DEDD-4DD3-B039-393CE174818D}" type="pres">
      <dgm:prSet presAssocID="{57E78F73-E611-452E-8D63-981B397E5443}" presName="rootConnector" presStyleLbl="node1" presStyleIdx="0" presStyleCnt="4"/>
      <dgm:spPr/>
      <dgm:t>
        <a:bodyPr/>
        <a:lstStyle/>
        <a:p>
          <a:endParaRPr lang="en-GB"/>
        </a:p>
      </dgm:t>
    </dgm:pt>
    <dgm:pt modelId="{4E862F63-A6FD-489E-8F2F-F71BCB364F04}" type="pres">
      <dgm:prSet presAssocID="{57E78F73-E611-452E-8D63-981B397E5443}" presName="childShape" presStyleCnt="0"/>
      <dgm:spPr/>
    </dgm:pt>
    <dgm:pt modelId="{C380F2C3-5A7F-49DC-AB5A-40BB2D2DD744}" type="pres">
      <dgm:prSet presAssocID="{E8031A2A-EC36-43DF-8580-1897EB50EF0C}" presName="Name13" presStyleLbl="parChTrans1D2" presStyleIdx="0" presStyleCnt="4"/>
      <dgm:spPr/>
      <dgm:t>
        <a:bodyPr/>
        <a:lstStyle/>
        <a:p>
          <a:endParaRPr lang="en-GB"/>
        </a:p>
      </dgm:t>
    </dgm:pt>
    <dgm:pt modelId="{D248D19B-D597-43E7-B568-F23CA646F57A}" type="pres">
      <dgm:prSet presAssocID="{9B220ACC-681C-407F-9785-4BCBD6425A59}" presName="childText" presStyleLbl="bgAcc1" presStyleIdx="0" presStyleCnt="4" custScaleY="230569">
        <dgm:presLayoutVars>
          <dgm:bulletEnabled val="1"/>
        </dgm:presLayoutVars>
      </dgm:prSet>
      <dgm:spPr/>
      <dgm:t>
        <a:bodyPr/>
        <a:lstStyle/>
        <a:p>
          <a:endParaRPr lang="en-GB"/>
        </a:p>
      </dgm:t>
    </dgm:pt>
    <dgm:pt modelId="{A31DC5A0-C684-4DD0-AE2F-6345C8308947}" type="pres">
      <dgm:prSet presAssocID="{B55B0B5D-5C62-494F-8F40-124740A3ACA1}" presName="root" presStyleCnt="0"/>
      <dgm:spPr/>
    </dgm:pt>
    <dgm:pt modelId="{33AA1A93-0937-4A21-99AC-21C78A4D866B}" type="pres">
      <dgm:prSet presAssocID="{B55B0B5D-5C62-494F-8F40-124740A3ACA1}" presName="rootComposite" presStyleCnt="0"/>
      <dgm:spPr/>
    </dgm:pt>
    <dgm:pt modelId="{08F5EE26-0C58-4C58-AEE6-F3CCA9CD1DD6}" type="pres">
      <dgm:prSet presAssocID="{B55B0B5D-5C62-494F-8F40-124740A3ACA1}" presName="rootText" presStyleLbl="node1" presStyleIdx="1" presStyleCnt="4"/>
      <dgm:spPr/>
      <dgm:t>
        <a:bodyPr/>
        <a:lstStyle/>
        <a:p>
          <a:endParaRPr lang="en-GB"/>
        </a:p>
      </dgm:t>
    </dgm:pt>
    <dgm:pt modelId="{50F2FA4B-7B4C-403E-AD19-88465CC68616}" type="pres">
      <dgm:prSet presAssocID="{B55B0B5D-5C62-494F-8F40-124740A3ACA1}" presName="rootConnector" presStyleLbl="node1" presStyleIdx="1" presStyleCnt="4"/>
      <dgm:spPr/>
      <dgm:t>
        <a:bodyPr/>
        <a:lstStyle/>
        <a:p>
          <a:endParaRPr lang="en-GB"/>
        </a:p>
      </dgm:t>
    </dgm:pt>
    <dgm:pt modelId="{01AAE3DD-0727-409F-878C-396C324A11DD}" type="pres">
      <dgm:prSet presAssocID="{B55B0B5D-5C62-494F-8F40-124740A3ACA1}" presName="childShape" presStyleCnt="0"/>
      <dgm:spPr/>
    </dgm:pt>
    <dgm:pt modelId="{810E9F8E-13CA-40CB-B839-0974ABF6F593}" type="pres">
      <dgm:prSet presAssocID="{7CBCE80E-D5D1-49AD-A910-CF4D30D4D41A}" presName="Name13" presStyleLbl="parChTrans1D2" presStyleIdx="1" presStyleCnt="4"/>
      <dgm:spPr/>
      <dgm:t>
        <a:bodyPr/>
        <a:lstStyle/>
        <a:p>
          <a:endParaRPr lang="en-GB"/>
        </a:p>
      </dgm:t>
    </dgm:pt>
    <dgm:pt modelId="{EADC7D48-EA8F-4E1B-B231-BD35D9D3BC7E}" type="pres">
      <dgm:prSet presAssocID="{218533E9-D8EA-4F45-B2E3-461CECA59471}" presName="childText" presStyleLbl="bgAcc1" presStyleIdx="1" presStyleCnt="4" custScaleY="232916">
        <dgm:presLayoutVars>
          <dgm:bulletEnabled val="1"/>
        </dgm:presLayoutVars>
      </dgm:prSet>
      <dgm:spPr/>
      <dgm:t>
        <a:bodyPr/>
        <a:lstStyle/>
        <a:p>
          <a:endParaRPr lang="en-GB"/>
        </a:p>
      </dgm:t>
    </dgm:pt>
    <dgm:pt modelId="{ADFD1EB9-9BAA-4744-8EDE-9EC017AA3998}" type="pres">
      <dgm:prSet presAssocID="{321095C9-8C84-4CCC-9FA9-ABB7D05245B3}" presName="root" presStyleCnt="0"/>
      <dgm:spPr/>
    </dgm:pt>
    <dgm:pt modelId="{78FE439F-8E3B-4A81-AC95-252CDA5FE142}" type="pres">
      <dgm:prSet presAssocID="{321095C9-8C84-4CCC-9FA9-ABB7D05245B3}" presName="rootComposite" presStyleCnt="0"/>
      <dgm:spPr/>
    </dgm:pt>
    <dgm:pt modelId="{13983CAB-A6C5-45CC-9130-81103570DB60}" type="pres">
      <dgm:prSet presAssocID="{321095C9-8C84-4CCC-9FA9-ABB7D05245B3}" presName="rootText" presStyleLbl="node1" presStyleIdx="2" presStyleCnt="4"/>
      <dgm:spPr/>
      <dgm:t>
        <a:bodyPr/>
        <a:lstStyle/>
        <a:p>
          <a:endParaRPr lang="en-GB"/>
        </a:p>
      </dgm:t>
    </dgm:pt>
    <dgm:pt modelId="{B62DA199-8B28-426E-AA49-F51EF29FF12A}" type="pres">
      <dgm:prSet presAssocID="{321095C9-8C84-4CCC-9FA9-ABB7D05245B3}" presName="rootConnector" presStyleLbl="node1" presStyleIdx="2" presStyleCnt="4"/>
      <dgm:spPr/>
      <dgm:t>
        <a:bodyPr/>
        <a:lstStyle/>
        <a:p>
          <a:endParaRPr lang="en-GB"/>
        </a:p>
      </dgm:t>
    </dgm:pt>
    <dgm:pt modelId="{387A1368-C917-4059-A28A-A39B07FFB9FC}" type="pres">
      <dgm:prSet presAssocID="{321095C9-8C84-4CCC-9FA9-ABB7D05245B3}" presName="childShape" presStyleCnt="0"/>
      <dgm:spPr/>
    </dgm:pt>
    <dgm:pt modelId="{BD58E4F6-9FBC-4336-8BAF-6C559C5B47D6}" type="pres">
      <dgm:prSet presAssocID="{9685EB25-936C-43AD-97DF-5ABF54074623}" presName="Name13" presStyleLbl="parChTrans1D2" presStyleIdx="2" presStyleCnt="4"/>
      <dgm:spPr/>
      <dgm:t>
        <a:bodyPr/>
        <a:lstStyle/>
        <a:p>
          <a:endParaRPr lang="en-GB"/>
        </a:p>
      </dgm:t>
    </dgm:pt>
    <dgm:pt modelId="{5A38A2FA-346F-47EE-AF0D-6DAC7B85E093}" type="pres">
      <dgm:prSet presAssocID="{1D5631B7-D679-40CE-9029-B1CC073DA8E4}" presName="childText" presStyleLbl="bgAcc1" presStyleIdx="2" presStyleCnt="4" custScaleX="99283" custScaleY="233958">
        <dgm:presLayoutVars>
          <dgm:bulletEnabled val="1"/>
        </dgm:presLayoutVars>
      </dgm:prSet>
      <dgm:spPr/>
      <dgm:t>
        <a:bodyPr/>
        <a:lstStyle/>
        <a:p>
          <a:endParaRPr lang="en-GB"/>
        </a:p>
      </dgm:t>
    </dgm:pt>
    <dgm:pt modelId="{78B48C6E-8E31-435B-AD25-44A5283AFC40}" type="pres">
      <dgm:prSet presAssocID="{65ABDF12-784F-4F9B-987C-3830BA5B903E}" presName="root" presStyleCnt="0"/>
      <dgm:spPr/>
    </dgm:pt>
    <dgm:pt modelId="{0D2CBD16-9DCB-4891-BDBE-8FBF26C03DCC}" type="pres">
      <dgm:prSet presAssocID="{65ABDF12-784F-4F9B-987C-3830BA5B903E}" presName="rootComposite" presStyleCnt="0"/>
      <dgm:spPr/>
    </dgm:pt>
    <dgm:pt modelId="{49D51BF8-4BC4-4F8F-AE0E-C6013C749E42}" type="pres">
      <dgm:prSet presAssocID="{65ABDF12-784F-4F9B-987C-3830BA5B903E}" presName="rootText" presStyleLbl="node1" presStyleIdx="3" presStyleCnt="4"/>
      <dgm:spPr/>
      <dgm:t>
        <a:bodyPr/>
        <a:lstStyle/>
        <a:p>
          <a:endParaRPr lang="en-GB"/>
        </a:p>
      </dgm:t>
    </dgm:pt>
    <dgm:pt modelId="{6BCFB4BB-DA02-48EB-9CBF-5D3D61765203}" type="pres">
      <dgm:prSet presAssocID="{65ABDF12-784F-4F9B-987C-3830BA5B903E}" presName="rootConnector" presStyleLbl="node1" presStyleIdx="3" presStyleCnt="4"/>
      <dgm:spPr/>
      <dgm:t>
        <a:bodyPr/>
        <a:lstStyle/>
        <a:p>
          <a:endParaRPr lang="en-GB"/>
        </a:p>
      </dgm:t>
    </dgm:pt>
    <dgm:pt modelId="{FA77B5C9-7F60-4886-862E-D0F41CB5BFDA}" type="pres">
      <dgm:prSet presAssocID="{65ABDF12-784F-4F9B-987C-3830BA5B903E}" presName="childShape" presStyleCnt="0"/>
      <dgm:spPr/>
    </dgm:pt>
    <dgm:pt modelId="{3ED0656B-7D87-4F9E-9A9F-465AC6E1D549}" type="pres">
      <dgm:prSet presAssocID="{01CB2499-B887-4FF8-888D-D72C9A43B65E}" presName="Name13" presStyleLbl="parChTrans1D2" presStyleIdx="3" presStyleCnt="4"/>
      <dgm:spPr/>
      <dgm:t>
        <a:bodyPr/>
        <a:lstStyle/>
        <a:p>
          <a:endParaRPr lang="en-GB"/>
        </a:p>
      </dgm:t>
    </dgm:pt>
    <dgm:pt modelId="{4BC90DDC-31D4-4A98-8E48-DA125F99539F}" type="pres">
      <dgm:prSet presAssocID="{2A89C136-22D2-4982-8B1F-DF686A0839A3}" presName="childText" presStyleLbl="bgAcc1" presStyleIdx="3" presStyleCnt="4" custScaleY="240321">
        <dgm:presLayoutVars>
          <dgm:bulletEnabled val="1"/>
        </dgm:presLayoutVars>
      </dgm:prSet>
      <dgm:spPr/>
      <dgm:t>
        <a:bodyPr/>
        <a:lstStyle/>
        <a:p>
          <a:endParaRPr lang="en-GB"/>
        </a:p>
      </dgm:t>
    </dgm:pt>
  </dgm:ptLst>
  <dgm:cxnLst>
    <dgm:cxn modelId="{ACC78BD9-141E-4F77-9155-A5058B52C647}" type="presOf" srcId="{01CB2499-B887-4FF8-888D-D72C9A43B65E}" destId="{3ED0656B-7D87-4F9E-9A9F-465AC6E1D549}" srcOrd="0" destOrd="0" presId="urn:microsoft.com/office/officeart/2005/8/layout/hierarchy3"/>
    <dgm:cxn modelId="{D12EF3C6-4DB5-4E5B-9D77-9EFB8A90DEF9}" srcId="{D9A03EBE-C35B-4F3C-B917-8AD7168D66D2}" destId="{65ABDF12-784F-4F9B-987C-3830BA5B903E}" srcOrd="3" destOrd="0" parTransId="{FBB918D2-D53A-42A0-9822-643CC689664E}" sibTransId="{D4E3FE11-EE6E-41D6-9A20-5D702199C611}"/>
    <dgm:cxn modelId="{DF97C1AF-E1ED-4D17-9A7C-0AD608DB28FF}" type="presOf" srcId="{9685EB25-936C-43AD-97DF-5ABF54074623}" destId="{BD58E4F6-9FBC-4336-8BAF-6C559C5B47D6}" srcOrd="0" destOrd="0" presId="urn:microsoft.com/office/officeart/2005/8/layout/hierarchy3"/>
    <dgm:cxn modelId="{86917914-9594-4137-A5A3-DD391D2FB288}" srcId="{57E78F73-E611-452E-8D63-981B397E5443}" destId="{9B220ACC-681C-407F-9785-4BCBD6425A59}" srcOrd="0" destOrd="0" parTransId="{E8031A2A-EC36-43DF-8580-1897EB50EF0C}" sibTransId="{FB63DFA6-46C5-4D9E-B175-E444D44FEF95}"/>
    <dgm:cxn modelId="{0FC6E376-A258-424A-8E0F-8695B7828587}" type="presOf" srcId="{65ABDF12-784F-4F9B-987C-3830BA5B903E}" destId="{6BCFB4BB-DA02-48EB-9CBF-5D3D61765203}" srcOrd="1" destOrd="0" presId="urn:microsoft.com/office/officeart/2005/8/layout/hierarchy3"/>
    <dgm:cxn modelId="{6198923C-C495-41DD-8972-7043F5DD78C4}" type="presOf" srcId="{57E78F73-E611-452E-8D63-981B397E5443}" destId="{967F4E01-A084-4B1F-B6F6-CCF2514968EF}" srcOrd="0" destOrd="0" presId="urn:microsoft.com/office/officeart/2005/8/layout/hierarchy3"/>
    <dgm:cxn modelId="{FA09E973-BD97-4CAE-A7F1-DDCD9F469317}" type="presOf" srcId="{1D5631B7-D679-40CE-9029-B1CC073DA8E4}" destId="{5A38A2FA-346F-47EE-AF0D-6DAC7B85E093}" srcOrd="0" destOrd="0" presId="urn:microsoft.com/office/officeart/2005/8/layout/hierarchy3"/>
    <dgm:cxn modelId="{72153002-9534-4C6F-BDB8-A8A1C3CB5365}" type="presOf" srcId="{2A89C136-22D2-4982-8B1F-DF686A0839A3}" destId="{4BC90DDC-31D4-4A98-8E48-DA125F99539F}" srcOrd="0" destOrd="0" presId="urn:microsoft.com/office/officeart/2005/8/layout/hierarchy3"/>
    <dgm:cxn modelId="{1B69182F-F55A-42BC-8ECA-973B301B140B}" srcId="{65ABDF12-784F-4F9B-987C-3830BA5B903E}" destId="{2A89C136-22D2-4982-8B1F-DF686A0839A3}" srcOrd="0" destOrd="0" parTransId="{01CB2499-B887-4FF8-888D-D72C9A43B65E}" sibTransId="{71DC6AC0-629D-4AEA-B497-B7537F8AF8FE}"/>
    <dgm:cxn modelId="{95C0FC42-311B-44D3-A34C-EF18479122DA}" srcId="{B55B0B5D-5C62-494F-8F40-124740A3ACA1}" destId="{218533E9-D8EA-4F45-B2E3-461CECA59471}" srcOrd="0" destOrd="0" parTransId="{7CBCE80E-D5D1-49AD-A910-CF4D30D4D41A}" sibTransId="{AB7D3450-A628-4516-9716-A3B9E19BC3F5}"/>
    <dgm:cxn modelId="{5EE9357E-D9C3-455D-9AE5-B1CBC3EBE192}" type="presOf" srcId="{321095C9-8C84-4CCC-9FA9-ABB7D05245B3}" destId="{B62DA199-8B28-426E-AA49-F51EF29FF12A}" srcOrd="1" destOrd="0" presId="urn:microsoft.com/office/officeart/2005/8/layout/hierarchy3"/>
    <dgm:cxn modelId="{994F6AF1-96C6-47D0-BA15-1BA67A0C8C8C}" srcId="{321095C9-8C84-4CCC-9FA9-ABB7D05245B3}" destId="{1D5631B7-D679-40CE-9029-B1CC073DA8E4}" srcOrd="0" destOrd="0" parTransId="{9685EB25-936C-43AD-97DF-5ABF54074623}" sibTransId="{38F92A5C-0793-4135-BFF4-F08B5E08B449}"/>
    <dgm:cxn modelId="{1496756E-D48B-4A89-867F-5A540F408EC6}" srcId="{D9A03EBE-C35B-4F3C-B917-8AD7168D66D2}" destId="{321095C9-8C84-4CCC-9FA9-ABB7D05245B3}" srcOrd="2" destOrd="0" parTransId="{32D2BA39-9866-4469-91B5-785087AF427B}" sibTransId="{60029E84-81DB-44CF-A390-FF36BEAFA9D0}"/>
    <dgm:cxn modelId="{75B40576-2DB1-4682-8238-B121F59EAE58}" type="presOf" srcId="{B55B0B5D-5C62-494F-8F40-124740A3ACA1}" destId="{50F2FA4B-7B4C-403E-AD19-88465CC68616}" srcOrd="1" destOrd="0" presId="urn:microsoft.com/office/officeart/2005/8/layout/hierarchy3"/>
    <dgm:cxn modelId="{38114FD8-27A5-46FD-A2F1-71E9CB5D323A}" type="presOf" srcId="{65ABDF12-784F-4F9B-987C-3830BA5B903E}" destId="{49D51BF8-4BC4-4F8F-AE0E-C6013C749E42}" srcOrd="0" destOrd="0" presId="urn:microsoft.com/office/officeart/2005/8/layout/hierarchy3"/>
    <dgm:cxn modelId="{8D05510E-282F-46C6-9F5B-49D95B0ED60D}" srcId="{D9A03EBE-C35B-4F3C-B917-8AD7168D66D2}" destId="{B55B0B5D-5C62-494F-8F40-124740A3ACA1}" srcOrd="1" destOrd="0" parTransId="{2206883F-361D-4DB5-99D0-BAFCC4D13979}" sibTransId="{B2A97770-3EF7-4C5D-8A3A-6924DA83D5E4}"/>
    <dgm:cxn modelId="{1CFD8972-DEBC-4798-8908-EA72A9CB473C}" type="presOf" srcId="{7CBCE80E-D5D1-49AD-A910-CF4D30D4D41A}" destId="{810E9F8E-13CA-40CB-B839-0974ABF6F593}" srcOrd="0" destOrd="0" presId="urn:microsoft.com/office/officeart/2005/8/layout/hierarchy3"/>
    <dgm:cxn modelId="{A1D15624-0BB0-4733-AAE8-A3D19EF48BE4}" type="presOf" srcId="{57E78F73-E611-452E-8D63-981B397E5443}" destId="{09BA499F-DEDD-4DD3-B039-393CE174818D}" srcOrd="1" destOrd="0" presId="urn:microsoft.com/office/officeart/2005/8/layout/hierarchy3"/>
    <dgm:cxn modelId="{6CE21379-49CC-4367-AC9C-6CC35FFF1F0A}" type="presOf" srcId="{321095C9-8C84-4CCC-9FA9-ABB7D05245B3}" destId="{13983CAB-A6C5-45CC-9130-81103570DB60}" srcOrd="0" destOrd="0" presId="urn:microsoft.com/office/officeart/2005/8/layout/hierarchy3"/>
    <dgm:cxn modelId="{C05C1B92-79DE-4D50-88C4-64EFA6DC423F}" srcId="{D9A03EBE-C35B-4F3C-B917-8AD7168D66D2}" destId="{57E78F73-E611-452E-8D63-981B397E5443}" srcOrd="0" destOrd="0" parTransId="{63D6C8B7-F9EF-478C-BE45-500FD1FD757E}" sibTransId="{007CE6A9-45CE-414A-BD37-ABA8732BE066}"/>
    <dgm:cxn modelId="{EF4906F3-A95B-4FDF-876B-99145E02B3F6}" type="presOf" srcId="{B55B0B5D-5C62-494F-8F40-124740A3ACA1}" destId="{08F5EE26-0C58-4C58-AEE6-F3CCA9CD1DD6}" srcOrd="0" destOrd="0" presId="urn:microsoft.com/office/officeart/2005/8/layout/hierarchy3"/>
    <dgm:cxn modelId="{FE4C8BA2-4E49-40B9-9672-91B66CD9D235}" type="presOf" srcId="{D9A03EBE-C35B-4F3C-B917-8AD7168D66D2}" destId="{FA4C4536-BBFD-408B-A01B-115411226E11}" srcOrd="0" destOrd="0" presId="urn:microsoft.com/office/officeart/2005/8/layout/hierarchy3"/>
    <dgm:cxn modelId="{9C1C217B-5472-4E7F-AF31-FFA965FF568E}" type="presOf" srcId="{E8031A2A-EC36-43DF-8580-1897EB50EF0C}" destId="{C380F2C3-5A7F-49DC-AB5A-40BB2D2DD744}" srcOrd="0" destOrd="0" presId="urn:microsoft.com/office/officeart/2005/8/layout/hierarchy3"/>
    <dgm:cxn modelId="{928D498F-E52D-44CD-B389-ABCE0773FDC7}" type="presOf" srcId="{218533E9-D8EA-4F45-B2E3-461CECA59471}" destId="{EADC7D48-EA8F-4E1B-B231-BD35D9D3BC7E}" srcOrd="0" destOrd="0" presId="urn:microsoft.com/office/officeart/2005/8/layout/hierarchy3"/>
    <dgm:cxn modelId="{540F92F5-D78B-445D-A9FD-9F3965E397FB}" type="presOf" srcId="{9B220ACC-681C-407F-9785-4BCBD6425A59}" destId="{D248D19B-D597-43E7-B568-F23CA646F57A}" srcOrd="0" destOrd="0" presId="urn:microsoft.com/office/officeart/2005/8/layout/hierarchy3"/>
    <dgm:cxn modelId="{71A088A4-C115-46FD-B7A2-FED487A08B50}" type="presParOf" srcId="{FA4C4536-BBFD-408B-A01B-115411226E11}" destId="{1C007242-7E9A-462B-BE11-805F0CBD9EFF}" srcOrd="0" destOrd="0" presId="urn:microsoft.com/office/officeart/2005/8/layout/hierarchy3"/>
    <dgm:cxn modelId="{2F3C2B09-E5C8-4C35-A97B-E9F617B0DC97}" type="presParOf" srcId="{1C007242-7E9A-462B-BE11-805F0CBD9EFF}" destId="{582776C8-83C8-4F6E-8695-610C6D8331C0}" srcOrd="0" destOrd="0" presId="urn:microsoft.com/office/officeart/2005/8/layout/hierarchy3"/>
    <dgm:cxn modelId="{976E98D0-CC2C-4D92-9358-EF3B86DDE195}" type="presParOf" srcId="{582776C8-83C8-4F6E-8695-610C6D8331C0}" destId="{967F4E01-A084-4B1F-B6F6-CCF2514968EF}" srcOrd="0" destOrd="0" presId="urn:microsoft.com/office/officeart/2005/8/layout/hierarchy3"/>
    <dgm:cxn modelId="{2F1ECAA5-5D1A-4158-835C-C63564A56FFB}" type="presParOf" srcId="{582776C8-83C8-4F6E-8695-610C6D8331C0}" destId="{09BA499F-DEDD-4DD3-B039-393CE174818D}" srcOrd="1" destOrd="0" presId="urn:microsoft.com/office/officeart/2005/8/layout/hierarchy3"/>
    <dgm:cxn modelId="{68BE0C9B-F36F-4DF8-A873-3AE2F5BBE85F}" type="presParOf" srcId="{1C007242-7E9A-462B-BE11-805F0CBD9EFF}" destId="{4E862F63-A6FD-489E-8F2F-F71BCB364F04}" srcOrd="1" destOrd="0" presId="urn:microsoft.com/office/officeart/2005/8/layout/hierarchy3"/>
    <dgm:cxn modelId="{7CE41C51-DA69-499B-AF7F-42369F8FEDE3}" type="presParOf" srcId="{4E862F63-A6FD-489E-8F2F-F71BCB364F04}" destId="{C380F2C3-5A7F-49DC-AB5A-40BB2D2DD744}" srcOrd="0" destOrd="0" presId="urn:microsoft.com/office/officeart/2005/8/layout/hierarchy3"/>
    <dgm:cxn modelId="{E1A5F110-29F5-422D-9128-D45E130F786D}" type="presParOf" srcId="{4E862F63-A6FD-489E-8F2F-F71BCB364F04}" destId="{D248D19B-D597-43E7-B568-F23CA646F57A}" srcOrd="1" destOrd="0" presId="urn:microsoft.com/office/officeart/2005/8/layout/hierarchy3"/>
    <dgm:cxn modelId="{82BC7DE3-2BAC-43D6-832E-5D274ED3E93B}" type="presParOf" srcId="{FA4C4536-BBFD-408B-A01B-115411226E11}" destId="{A31DC5A0-C684-4DD0-AE2F-6345C8308947}" srcOrd="1" destOrd="0" presId="urn:microsoft.com/office/officeart/2005/8/layout/hierarchy3"/>
    <dgm:cxn modelId="{F65F0A1D-CBED-41B0-B634-BDC85BF8BB50}" type="presParOf" srcId="{A31DC5A0-C684-4DD0-AE2F-6345C8308947}" destId="{33AA1A93-0937-4A21-99AC-21C78A4D866B}" srcOrd="0" destOrd="0" presId="urn:microsoft.com/office/officeart/2005/8/layout/hierarchy3"/>
    <dgm:cxn modelId="{3F84E931-9DA8-4495-8B57-F36FA96707A0}" type="presParOf" srcId="{33AA1A93-0937-4A21-99AC-21C78A4D866B}" destId="{08F5EE26-0C58-4C58-AEE6-F3CCA9CD1DD6}" srcOrd="0" destOrd="0" presId="urn:microsoft.com/office/officeart/2005/8/layout/hierarchy3"/>
    <dgm:cxn modelId="{C9EDFC32-68F6-4258-A465-5D0678C66017}" type="presParOf" srcId="{33AA1A93-0937-4A21-99AC-21C78A4D866B}" destId="{50F2FA4B-7B4C-403E-AD19-88465CC68616}" srcOrd="1" destOrd="0" presId="urn:microsoft.com/office/officeart/2005/8/layout/hierarchy3"/>
    <dgm:cxn modelId="{9F086B42-96D9-4578-A1D3-27740804B9B2}" type="presParOf" srcId="{A31DC5A0-C684-4DD0-AE2F-6345C8308947}" destId="{01AAE3DD-0727-409F-878C-396C324A11DD}" srcOrd="1" destOrd="0" presId="urn:microsoft.com/office/officeart/2005/8/layout/hierarchy3"/>
    <dgm:cxn modelId="{F1AE27DA-B813-40E1-B4C3-0668333EA806}" type="presParOf" srcId="{01AAE3DD-0727-409F-878C-396C324A11DD}" destId="{810E9F8E-13CA-40CB-B839-0974ABF6F593}" srcOrd="0" destOrd="0" presId="urn:microsoft.com/office/officeart/2005/8/layout/hierarchy3"/>
    <dgm:cxn modelId="{9A3BE601-AE56-4A24-94BC-EFA4C46B694A}" type="presParOf" srcId="{01AAE3DD-0727-409F-878C-396C324A11DD}" destId="{EADC7D48-EA8F-4E1B-B231-BD35D9D3BC7E}" srcOrd="1" destOrd="0" presId="urn:microsoft.com/office/officeart/2005/8/layout/hierarchy3"/>
    <dgm:cxn modelId="{92292404-6F8B-472C-A5C2-C8E05FFFC3F9}" type="presParOf" srcId="{FA4C4536-BBFD-408B-A01B-115411226E11}" destId="{ADFD1EB9-9BAA-4744-8EDE-9EC017AA3998}" srcOrd="2" destOrd="0" presId="urn:microsoft.com/office/officeart/2005/8/layout/hierarchy3"/>
    <dgm:cxn modelId="{A7B089A8-5FA1-42AE-BC46-C90EB81A6458}" type="presParOf" srcId="{ADFD1EB9-9BAA-4744-8EDE-9EC017AA3998}" destId="{78FE439F-8E3B-4A81-AC95-252CDA5FE142}" srcOrd="0" destOrd="0" presId="urn:microsoft.com/office/officeart/2005/8/layout/hierarchy3"/>
    <dgm:cxn modelId="{85CF2BAE-1773-402E-BB3C-7532EFEE6CF0}" type="presParOf" srcId="{78FE439F-8E3B-4A81-AC95-252CDA5FE142}" destId="{13983CAB-A6C5-45CC-9130-81103570DB60}" srcOrd="0" destOrd="0" presId="urn:microsoft.com/office/officeart/2005/8/layout/hierarchy3"/>
    <dgm:cxn modelId="{75CDBF3E-5BAE-4A7E-855B-882339BEFA4A}" type="presParOf" srcId="{78FE439F-8E3B-4A81-AC95-252CDA5FE142}" destId="{B62DA199-8B28-426E-AA49-F51EF29FF12A}" srcOrd="1" destOrd="0" presId="urn:microsoft.com/office/officeart/2005/8/layout/hierarchy3"/>
    <dgm:cxn modelId="{3724930F-E58F-430F-92C3-0D4D59563E77}" type="presParOf" srcId="{ADFD1EB9-9BAA-4744-8EDE-9EC017AA3998}" destId="{387A1368-C917-4059-A28A-A39B07FFB9FC}" srcOrd="1" destOrd="0" presId="urn:microsoft.com/office/officeart/2005/8/layout/hierarchy3"/>
    <dgm:cxn modelId="{82BAB35E-A298-4574-9520-C51E073C8877}" type="presParOf" srcId="{387A1368-C917-4059-A28A-A39B07FFB9FC}" destId="{BD58E4F6-9FBC-4336-8BAF-6C559C5B47D6}" srcOrd="0" destOrd="0" presId="urn:microsoft.com/office/officeart/2005/8/layout/hierarchy3"/>
    <dgm:cxn modelId="{D958A53E-3025-4F3E-840C-0ECC27D4CA0E}" type="presParOf" srcId="{387A1368-C917-4059-A28A-A39B07FFB9FC}" destId="{5A38A2FA-346F-47EE-AF0D-6DAC7B85E093}" srcOrd="1" destOrd="0" presId="urn:microsoft.com/office/officeart/2005/8/layout/hierarchy3"/>
    <dgm:cxn modelId="{671CFDC9-396E-4677-B7C4-2A30B4518315}" type="presParOf" srcId="{FA4C4536-BBFD-408B-A01B-115411226E11}" destId="{78B48C6E-8E31-435B-AD25-44A5283AFC40}" srcOrd="3" destOrd="0" presId="urn:microsoft.com/office/officeart/2005/8/layout/hierarchy3"/>
    <dgm:cxn modelId="{0654F6D1-DB76-4FAD-A0F4-9AB27F3C1135}" type="presParOf" srcId="{78B48C6E-8E31-435B-AD25-44A5283AFC40}" destId="{0D2CBD16-9DCB-4891-BDBE-8FBF26C03DCC}" srcOrd="0" destOrd="0" presId="urn:microsoft.com/office/officeart/2005/8/layout/hierarchy3"/>
    <dgm:cxn modelId="{CAC1132A-8D13-4217-8A8A-7989C6D6A908}" type="presParOf" srcId="{0D2CBD16-9DCB-4891-BDBE-8FBF26C03DCC}" destId="{49D51BF8-4BC4-4F8F-AE0E-C6013C749E42}" srcOrd="0" destOrd="0" presId="urn:microsoft.com/office/officeart/2005/8/layout/hierarchy3"/>
    <dgm:cxn modelId="{816B94FE-FB80-449E-B3E9-0C254006DA95}" type="presParOf" srcId="{0D2CBD16-9DCB-4891-BDBE-8FBF26C03DCC}" destId="{6BCFB4BB-DA02-48EB-9CBF-5D3D61765203}" srcOrd="1" destOrd="0" presId="urn:microsoft.com/office/officeart/2005/8/layout/hierarchy3"/>
    <dgm:cxn modelId="{A15A0002-270F-4139-85D0-4BF98E0B17A7}" type="presParOf" srcId="{78B48C6E-8E31-435B-AD25-44A5283AFC40}" destId="{FA77B5C9-7F60-4886-862E-D0F41CB5BFDA}" srcOrd="1" destOrd="0" presId="urn:microsoft.com/office/officeart/2005/8/layout/hierarchy3"/>
    <dgm:cxn modelId="{052D8FF1-D05D-4E5F-96BB-F3F32C6764B1}" type="presParOf" srcId="{FA77B5C9-7F60-4886-862E-D0F41CB5BFDA}" destId="{3ED0656B-7D87-4F9E-9A9F-465AC6E1D549}" srcOrd="0" destOrd="0" presId="urn:microsoft.com/office/officeart/2005/8/layout/hierarchy3"/>
    <dgm:cxn modelId="{8B7F77A7-6C42-4DC1-95D0-0ACD28604DAE}" type="presParOf" srcId="{FA77B5C9-7F60-4886-862E-D0F41CB5BFDA}" destId="{4BC90DDC-31D4-4A98-8E48-DA125F99539F}" srcOrd="1" destOrd="0" presId="urn:microsoft.com/office/officeart/2005/8/layout/hierarchy3"/>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67F4E01-A084-4B1F-B6F6-CCF2514968EF}">
      <dsp:nvSpPr>
        <dsp:cNvPr id="0" name=""/>
        <dsp:cNvSpPr/>
      </dsp:nvSpPr>
      <dsp:spPr>
        <a:xfrm>
          <a:off x="757938" y="164"/>
          <a:ext cx="953047" cy="47652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22860" rIns="34290" bIns="22860" numCol="1" spcCol="1270" anchor="ctr" anchorCtr="0">
          <a:noAutofit/>
        </a:bodyPr>
        <a:lstStyle/>
        <a:p>
          <a:pPr lvl="0" algn="ctr" defTabSz="800100">
            <a:lnSpc>
              <a:spcPct val="90000"/>
            </a:lnSpc>
            <a:spcBef>
              <a:spcPct val="0"/>
            </a:spcBef>
            <a:spcAft>
              <a:spcPct val="35000"/>
            </a:spcAft>
          </a:pPr>
          <a:r>
            <a:rPr lang="en-GB" sz="1800" kern="1200"/>
            <a:t>Step 1</a:t>
          </a:r>
        </a:p>
      </dsp:txBody>
      <dsp:txXfrm>
        <a:off x="771895" y="14121"/>
        <a:ext cx="925133" cy="448609"/>
      </dsp:txXfrm>
    </dsp:sp>
    <dsp:sp modelId="{C380F2C3-5A7F-49DC-AB5A-40BB2D2DD744}">
      <dsp:nvSpPr>
        <dsp:cNvPr id="0" name=""/>
        <dsp:cNvSpPr/>
      </dsp:nvSpPr>
      <dsp:spPr>
        <a:xfrm>
          <a:off x="853243" y="476688"/>
          <a:ext cx="95304" cy="668489"/>
        </a:xfrm>
        <a:custGeom>
          <a:avLst/>
          <a:gdLst/>
          <a:ahLst/>
          <a:cxnLst/>
          <a:rect l="0" t="0" r="0" b="0"/>
          <a:pathLst>
            <a:path>
              <a:moveTo>
                <a:pt x="0" y="0"/>
              </a:moveTo>
              <a:lnTo>
                <a:pt x="0" y="668489"/>
              </a:lnTo>
              <a:lnTo>
                <a:pt x="95304" y="66848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248D19B-D597-43E7-B568-F23CA646F57A}">
      <dsp:nvSpPr>
        <dsp:cNvPr id="0" name=""/>
        <dsp:cNvSpPr/>
      </dsp:nvSpPr>
      <dsp:spPr>
        <a:xfrm>
          <a:off x="948547" y="595818"/>
          <a:ext cx="762438" cy="109871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GB" sz="1200" kern="1200"/>
            <a:t>Set up local Pubwarch scheme</a:t>
          </a:r>
        </a:p>
      </dsp:txBody>
      <dsp:txXfrm>
        <a:off x="970878" y="618149"/>
        <a:ext cx="717776" cy="1054054"/>
      </dsp:txXfrm>
    </dsp:sp>
    <dsp:sp modelId="{08F5EE26-0C58-4C58-AEE6-F3CCA9CD1DD6}">
      <dsp:nvSpPr>
        <dsp:cNvPr id="0" name=""/>
        <dsp:cNvSpPr/>
      </dsp:nvSpPr>
      <dsp:spPr>
        <a:xfrm>
          <a:off x="1949247" y="164"/>
          <a:ext cx="953047" cy="47652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22860" rIns="34290" bIns="22860" numCol="1" spcCol="1270" anchor="ctr" anchorCtr="0">
          <a:noAutofit/>
        </a:bodyPr>
        <a:lstStyle/>
        <a:p>
          <a:pPr lvl="0" algn="ctr" defTabSz="800100">
            <a:lnSpc>
              <a:spcPct val="90000"/>
            </a:lnSpc>
            <a:spcBef>
              <a:spcPct val="0"/>
            </a:spcBef>
            <a:spcAft>
              <a:spcPct val="35000"/>
            </a:spcAft>
          </a:pPr>
          <a:r>
            <a:rPr lang="en-GB" sz="1800" kern="1200"/>
            <a:t>Step 2</a:t>
          </a:r>
        </a:p>
      </dsp:txBody>
      <dsp:txXfrm>
        <a:off x="1963204" y="14121"/>
        <a:ext cx="925133" cy="448609"/>
      </dsp:txXfrm>
    </dsp:sp>
    <dsp:sp modelId="{810E9F8E-13CA-40CB-B839-0974ABF6F593}">
      <dsp:nvSpPr>
        <dsp:cNvPr id="0" name=""/>
        <dsp:cNvSpPr/>
      </dsp:nvSpPr>
      <dsp:spPr>
        <a:xfrm>
          <a:off x="2044552" y="476688"/>
          <a:ext cx="95304" cy="674081"/>
        </a:xfrm>
        <a:custGeom>
          <a:avLst/>
          <a:gdLst/>
          <a:ahLst/>
          <a:cxnLst/>
          <a:rect l="0" t="0" r="0" b="0"/>
          <a:pathLst>
            <a:path>
              <a:moveTo>
                <a:pt x="0" y="0"/>
              </a:moveTo>
              <a:lnTo>
                <a:pt x="0" y="674081"/>
              </a:lnTo>
              <a:lnTo>
                <a:pt x="95304" y="67408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ADC7D48-EA8F-4E1B-B231-BD35D9D3BC7E}">
      <dsp:nvSpPr>
        <dsp:cNvPr id="0" name=""/>
        <dsp:cNvSpPr/>
      </dsp:nvSpPr>
      <dsp:spPr>
        <a:xfrm>
          <a:off x="2139857" y="595818"/>
          <a:ext cx="762438" cy="110990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GB" sz="1200" kern="1200"/>
            <a:t>Launch </a:t>
          </a:r>
        </a:p>
        <a:p>
          <a:pPr lvl="0" algn="ctr" defTabSz="533400">
            <a:lnSpc>
              <a:spcPct val="90000"/>
            </a:lnSpc>
            <a:spcBef>
              <a:spcPct val="0"/>
            </a:spcBef>
            <a:spcAft>
              <a:spcPct val="35000"/>
            </a:spcAft>
          </a:pPr>
          <a:r>
            <a:rPr lang="en-GB" sz="1200" kern="1200"/>
            <a:t>Conduct Baseline Evaluation </a:t>
          </a:r>
        </a:p>
      </dsp:txBody>
      <dsp:txXfrm>
        <a:off x="2162188" y="618149"/>
        <a:ext cx="717776" cy="1065238"/>
      </dsp:txXfrm>
    </dsp:sp>
    <dsp:sp modelId="{13983CAB-A6C5-45CC-9130-81103570DB60}">
      <dsp:nvSpPr>
        <dsp:cNvPr id="0" name=""/>
        <dsp:cNvSpPr/>
      </dsp:nvSpPr>
      <dsp:spPr>
        <a:xfrm>
          <a:off x="3140557" y="164"/>
          <a:ext cx="953047" cy="47652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22860" rIns="34290" bIns="22860" numCol="1" spcCol="1270" anchor="ctr" anchorCtr="0">
          <a:noAutofit/>
        </a:bodyPr>
        <a:lstStyle/>
        <a:p>
          <a:pPr lvl="0" algn="ctr" defTabSz="800100">
            <a:lnSpc>
              <a:spcPct val="90000"/>
            </a:lnSpc>
            <a:spcBef>
              <a:spcPct val="0"/>
            </a:spcBef>
            <a:spcAft>
              <a:spcPct val="35000"/>
            </a:spcAft>
          </a:pPr>
          <a:r>
            <a:rPr lang="en-GB" sz="1800" kern="1200"/>
            <a:t>Step 3</a:t>
          </a:r>
        </a:p>
      </dsp:txBody>
      <dsp:txXfrm>
        <a:off x="3154514" y="14121"/>
        <a:ext cx="925133" cy="448609"/>
      </dsp:txXfrm>
    </dsp:sp>
    <dsp:sp modelId="{BD58E4F6-9FBC-4336-8BAF-6C559C5B47D6}">
      <dsp:nvSpPr>
        <dsp:cNvPr id="0" name=""/>
        <dsp:cNvSpPr/>
      </dsp:nvSpPr>
      <dsp:spPr>
        <a:xfrm>
          <a:off x="3235862" y="476688"/>
          <a:ext cx="95304" cy="676563"/>
        </a:xfrm>
        <a:custGeom>
          <a:avLst/>
          <a:gdLst/>
          <a:ahLst/>
          <a:cxnLst/>
          <a:rect l="0" t="0" r="0" b="0"/>
          <a:pathLst>
            <a:path>
              <a:moveTo>
                <a:pt x="0" y="0"/>
              </a:moveTo>
              <a:lnTo>
                <a:pt x="0" y="676563"/>
              </a:lnTo>
              <a:lnTo>
                <a:pt x="95304" y="67656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A38A2FA-346F-47EE-AF0D-6DAC7B85E093}">
      <dsp:nvSpPr>
        <dsp:cNvPr id="0" name=""/>
        <dsp:cNvSpPr/>
      </dsp:nvSpPr>
      <dsp:spPr>
        <a:xfrm>
          <a:off x="3331166" y="595818"/>
          <a:ext cx="756971" cy="111486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GB" sz="1200" kern="1200"/>
            <a:t>Conduct Year-On-Year Evaluation </a:t>
          </a:r>
        </a:p>
      </dsp:txBody>
      <dsp:txXfrm>
        <a:off x="3353337" y="617989"/>
        <a:ext cx="712629" cy="1070523"/>
      </dsp:txXfrm>
    </dsp:sp>
    <dsp:sp modelId="{49D51BF8-4BC4-4F8F-AE0E-C6013C749E42}">
      <dsp:nvSpPr>
        <dsp:cNvPr id="0" name=""/>
        <dsp:cNvSpPr/>
      </dsp:nvSpPr>
      <dsp:spPr>
        <a:xfrm>
          <a:off x="4331866" y="164"/>
          <a:ext cx="953047" cy="47652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0320" rIns="30480" bIns="20320" numCol="1" spcCol="1270" anchor="ctr" anchorCtr="0">
          <a:noAutofit/>
        </a:bodyPr>
        <a:lstStyle/>
        <a:p>
          <a:pPr lvl="0" algn="ctr" defTabSz="711200">
            <a:lnSpc>
              <a:spcPct val="90000"/>
            </a:lnSpc>
            <a:spcBef>
              <a:spcPct val="0"/>
            </a:spcBef>
            <a:spcAft>
              <a:spcPct val="35000"/>
            </a:spcAft>
          </a:pPr>
          <a:r>
            <a:rPr lang="en-GB" sz="1600" kern="1200"/>
            <a:t>Step 4*</a:t>
          </a:r>
        </a:p>
      </dsp:txBody>
      <dsp:txXfrm>
        <a:off x="4345823" y="14121"/>
        <a:ext cx="925133" cy="448609"/>
      </dsp:txXfrm>
    </dsp:sp>
    <dsp:sp modelId="{3ED0656B-7D87-4F9E-9A9F-465AC6E1D549}">
      <dsp:nvSpPr>
        <dsp:cNvPr id="0" name=""/>
        <dsp:cNvSpPr/>
      </dsp:nvSpPr>
      <dsp:spPr>
        <a:xfrm>
          <a:off x="4427171" y="476688"/>
          <a:ext cx="95304" cy="691724"/>
        </a:xfrm>
        <a:custGeom>
          <a:avLst/>
          <a:gdLst/>
          <a:ahLst/>
          <a:cxnLst/>
          <a:rect l="0" t="0" r="0" b="0"/>
          <a:pathLst>
            <a:path>
              <a:moveTo>
                <a:pt x="0" y="0"/>
              </a:moveTo>
              <a:lnTo>
                <a:pt x="0" y="691724"/>
              </a:lnTo>
              <a:lnTo>
                <a:pt x="95304" y="69172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BC90DDC-31D4-4A98-8E48-DA125F99539F}">
      <dsp:nvSpPr>
        <dsp:cNvPr id="0" name=""/>
        <dsp:cNvSpPr/>
      </dsp:nvSpPr>
      <dsp:spPr>
        <a:xfrm>
          <a:off x="4522476" y="595818"/>
          <a:ext cx="762438" cy="114518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GB" sz="1200" kern="1200"/>
            <a:t>Report Findings</a:t>
          </a:r>
        </a:p>
      </dsp:txBody>
      <dsp:txXfrm>
        <a:off x="4544807" y="618149"/>
        <a:ext cx="717776" cy="110052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40B6B1-6230-4315-BFCF-5F567D77F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Pubwatch Evaluation Toolkit Outline and Toolkits with Appendices signed off.dot</Template>
  <TotalTime>7</TotalTime>
  <Pages>6</Pages>
  <Words>1056</Words>
  <Characters>6024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Leeds Metropolitan University</Company>
  <LinksUpToDate>false</LinksUpToDate>
  <CharactersWithSpaces>7066</CharactersWithSpaces>
  <SharedDoc>false</SharedDoc>
  <HLinks>
    <vt:vector size="78" baseType="variant">
      <vt:variant>
        <vt:i4>1900654</vt:i4>
      </vt:variant>
      <vt:variant>
        <vt:i4>75</vt:i4>
      </vt:variant>
      <vt:variant>
        <vt:i4>0</vt:i4>
      </vt:variant>
      <vt:variant>
        <vt:i4>5</vt:i4>
      </vt:variant>
      <vt:variant>
        <vt:lpwstr>mailto:admin@nationalpubwatch.org.uk</vt:lpwstr>
      </vt:variant>
      <vt:variant>
        <vt:lpwstr/>
      </vt:variant>
      <vt:variant>
        <vt:i4>2031666</vt:i4>
      </vt:variant>
      <vt:variant>
        <vt:i4>68</vt:i4>
      </vt:variant>
      <vt:variant>
        <vt:i4>0</vt:i4>
      </vt:variant>
      <vt:variant>
        <vt:i4>5</vt:i4>
      </vt:variant>
      <vt:variant>
        <vt:lpwstr/>
      </vt:variant>
      <vt:variant>
        <vt:lpwstr>_Toc422844068</vt:lpwstr>
      </vt:variant>
      <vt:variant>
        <vt:i4>2031666</vt:i4>
      </vt:variant>
      <vt:variant>
        <vt:i4>62</vt:i4>
      </vt:variant>
      <vt:variant>
        <vt:i4>0</vt:i4>
      </vt:variant>
      <vt:variant>
        <vt:i4>5</vt:i4>
      </vt:variant>
      <vt:variant>
        <vt:lpwstr/>
      </vt:variant>
      <vt:variant>
        <vt:lpwstr>_Toc422844067</vt:lpwstr>
      </vt:variant>
      <vt:variant>
        <vt:i4>2031666</vt:i4>
      </vt:variant>
      <vt:variant>
        <vt:i4>56</vt:i4>
      </vt:variant>
      <vt:variant>
        <vt:i4>0</vt:i4>
      </vt:variant>
      <vt:variant>
        <vt:i4>5</vt:i4>
      </vt:variant>
      <vt:variant>
        <vt:lpwstr/>
      </vt:variant>
      <vt:variant>
        <vt:lpwstr>_Toc422844066</vt:lpwstr>
      </vt:variant>
      <vt:variant>
        <vt:i4>2031666</vt:i4>
      </vt:variant>
      <vt:variant>
        <vt:i4>50</vt:i4>
      </vt:variant>
      <vt:variant>
        <vt:i4>0</vt:i4>
      </vt:variant>
      <vt:variant>
        <vt:i4>5</vt:i4>
      </vt:variant>
      <vt:variant>
        <vt:lpwstr/>
      </vt:variant>
      <vt:variant>
        <vt:lpwstr>_Toc422844065</vt:lpwstr>
      </vt:variant>
      <vt:variant>
        <vt:i4>2031666</vt:i4>
      </vt:variant>
      <vt:variant>
        <vt:i4>44</vt:i4>
      </vt:variant>
      <vt:variant>
        <vt:i4>0</vt:i4>
      </vt:variant>
      <vt:variant>
        <vt:i4>5</vt:i4>
      </vt:variant>
      <vt:variant>
        <vt:lpwstr/>
      </vt:variant>
      <vt:variant>
        <vt:lpwstr>_Toc422844064</vt:lpwstr>
      </vt:variant>
      <vt:variant>
        <vt:i4>2031666</vt:i4>
      </vt:variant>
      <vt:variant>
        <vt:i4>38</vt:i4>
      </vt:variant>
      <vt:variant>
        <vt:i4>0</vt:i4>
      </vt:variant>
      <vt:variant>
        <vt:i4>5</vt:i4>
      </vt:variant>
      <vt:variant>
        <vt:lpwstr/>
      </vt:variant>
      <vt:variant>
        <vt:lpwstr>_Toc422844063</vt:lpwstr>
      </vt:variant>
      <vt:variant>
        <vt:i4>2031666</vt:i4>
      </vt:variant>
      <vt:variant>
        <vt:i4>32</vt:i4>
      </vt:variant>
      <vt:variant>
        <vt:i4>0</vt:i4>
      </vt:variant>
      <vt:variant>
        <vt:i4>5</vt:i4>
      </vt:variant>
      <vt:variant>
        <vt:lpwstr/>
      </vt:variant>
      <vt:variant>
        <vt:lpwstr>_Toc422844062</vt:lpwstr>
      </vt:variant>
      <vt:variant>
        <vt:i4>2031666</vt:i4>
      </vt:variant>
      <vt:variant>
        <vt:i4>26</vt:i4>
      </vt:variant>
      <vt:variant>
        <vt:i4>0</vt:i4>
      </vt:variant>
      <vt:variant>
        <vt:i4>5</vt:i4>
      </vt:variant>
      <vt:variant>
        <vt:lpwstr/>
      </vt:variant>
      <vt:variant>
        <vt:lpwstr>_Toc422844061</vt:lpwstr>
      </vt:variant>
      <vt:variant>
        <vt:i4>2031666</vt:i4>
      </vt:variant>
      <vt:variant>
        <vt:i4>20</vt:i4>
      </vt:variant>
      <vt:variant>
        <vt:i4>0</vt:i4>
      </vt:variant>
      <vt:variant>
        <vt:i4>5</vt:i4>
      </vt:variant>
      <vt:variant>
        <vt:lpwstr/>
      </vt:variant>
      <vt:variant>
        <vt:lpwstr>_Toc422844060</vt:lpwstr>
      </vt:variant>
      <vt:variant>
        <vt:i4>589884</vt:i4>
      </vt:variant>
      <vt:variant>
        <vt:i4>14</vt:i4>
      </vt:variant>
      <vt:variant>
        <vt:i4>0</vt:i4>
      </vt:variant>
      <vt:variant>
        <vt:i4>5</vt:i4>
      </vt:variant>
      <vt:variant>
        <vt:lpwstr>C:\Google Drive\All work files\Portman Group\Pubwatch Evaluation Toolkit\Final PDF Verson\1  Pubwatch Evaluation Toolkit Outline and Toolkits with Appendices signed off.dot</vt:lpwstr>
      </vt:variant>
      <vt:variant>
        <vt:lpwstr>_Toc422844059</vt:lpwstr>
      </vt:variant>
      <vt:variant>
        <vt:i4>1835058</vt:i4>
      </vt:variant>
      <vt:variant>
        <vt:i4>8</vt:i4>
      </vt:variant>
      <vt:variant>
        <vt:i4>0</vt:i4>
      </vt:variant>
      <vt:variant>
        <vt:i4>5</vt:i4>
      </vt:variant>
      <vt:variant>
        <vt:lpwstr/>
      </vt:variant>
      <vt:variant>
        <vt:lpwstr>_Toc422844058</vt:lpwstr>
      </vt:variant>
      <vt:variant>
        <vt:i4>1835058</vt:i4>
      </vt:variant>
      <vt:variant>
        <vt:i4>2</vt:i4>
      </vt:variant>
      <vt:variant>
        <vt:i4>0</vt:i4>
      </vt:variant>
      <vt:variant>
        <vt:i4>5</vt:i4>
      </vt:variant>
      <vt:variant>
        <vt:lpwstr/>
      </vt:variant>
      <vt:variant>
        <vt:lpwstr>_Toc422844057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dc:creator>
  <cp:lastModifiedBy>Kenyon, Alexandra</cp:lastModifiedBy>
  <cp:revision>5</cp:revision>
  <cp:lastPrinted>2017-07-17T13:45:00Z</cp:lastPrinted>
  <dcterms:created xsi:type="dcterms:W3CDTF">2017-07-17T13:45:00Z</dcterms:created>
  <dcterms:modified xsi:type="dcterms:W3CDTF">2017-07-17T13:57:00Z</dcterms:modified>
</cp:coreProperties>
</file>